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7894" w14:textId="42179834" w:rsidR="00524F1A" w:rsidRPr="003A2416" w:rsidRDefault="00677E4E" w:rsidP="00524F1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Supplementary Material </w:t>
      </w:r>
      <w:r w:rsidR="00524F1A"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  <w:lang w:val="en-US"/>
        </w:rPr>
        <w:t>or</w:t>
      </w:r>
      <w:r w:rsidR="00524F1A">
        <w:rPr>
          <w:b/>
          <w:sz w:val="32"/>
          <w:szCs w:val="32"/>
          <w:lang w:val="en-US"/>
        </w:rPr>
        <w:t xml:space="preserve"> “</w:t>
      </w:r>
      <w:r w:rsidR="00EE4255">
        <w:rPr>
          <w:b/>
          <w:sz w:val="32"/>
          <w:szCs w:val="32"/>
          <w:lang w:val="en-US"/>
        </w:rPr>
        <w:t>Colloidal gel as an efficient process to treat CBR and prion contaminated solid surfaces</w:t>
      </w:r>
      <w:r w:rsidR="00524F1A">
        <w:rPr>
          <w:b/>
          <w:sz w:val="32"/>
          <w:szCs w:val="32"/>
          <w:lang w:val="en-US"/>
        </w:rPr>
        <w:t>”</w:t>
      </w:r>
    </w:p>
    <w:p w14:paraId="5439AAC5" w14:textId="77777777" w:rsidR="00524F1A" w:rsidRPr="000B0278" w:rsidRDefault="00524F1A" w:rsidP="00524F1A">
      <w:pPr>
        <w:jc w:val="center"/>
        <w:rPr>
          <w:rFonts w:cs="Times New Roman"/>
          <w:b/>
          <w:szCs w:val="24"/>
          <w:lang w:val="en-US"/>
        </w:rPr>
      </w:pPr>
    </w:p>
    <w:p w14:paraId="43591BB6" w14:textId="77777777" w:rsidR="00524F1A" w:rsidRPr="003D7252" w:rsidRDefault="00524F1A" w:rsidP="00524F1A">
      <w:pPr>
        <w:jc w:val="left"/>
        <w:rPr>
          <w:rFonts w:cs="Times New Roman"/>
          <w:szCs w:val="24"/>
          <w:lang w:val="fr-FR"/>
        </w:rPr>
      </w:pPr>
      <w:r w:rsidRPr="003D7252">
        <w:rPr>
          <w:rFonts w:cs="Times New Roman"/>
          <w:szCs w:val="24"/>
          <w:lang w:val="fr-FR"/>
        </w:rPr>
        <w:t xml:space="preserve">Célia </w:t>
      </w:r>
      <w:proofErr w:type="spellStart"/>
      <w:r w:rsidRPr="003D7252">
        <w:rPr>
          <w:rFonts w:cs="Times New Roman"/>
          <w:szCs w:val="24"/>
          <w:lang w:val="fr-FR"/>
        </w:rPr>
        <w:t>Lepeytre</w:t>
      </w:r>
      <w:r w:rsidRPr="003D7252">
        <w:rPr>
          <w:rFonts w:cs="Times New Roman"/>
          <w:szCs w:val="24"/>
          <w:vertAlign w:val="superscript"/>
          <w:lang w:val="fr-FR"/>
        </w:rPr>
        <w:t>a</w:t>
      </w:r>
      <w:proofErr w:type="spellEnd"/>
      <w:r w:rsidRPr="003D7252">
        <w:rPr>
          <w:rFonts w:cs="Times New Roman"/>
          <w:szCs w:val="24"/>
          <w:vertAlign w:val="superscript"/>
          <w:lang w:val="fr-FR"/>
        </w:rPr>
        <w:t>*</w:t>
      </w:r>
      <w:r w:rsidRPr="003D7252">
        <w:rPr>
          <w:rFonts w:cs="Times New Roman"/>
          <w:szCs w:val="24"/>
          <w:lang w:val="fr-FR"/>
        </w:rPr>
        <w:t xml:space="preserve">, Fabien </w:t>
      </w:r>
      <w:proofErr w:type="spellStart"/>
      <w:r w:rsidRPr="003D7252">
        <w:rPr>
          <w:rFonts w:cs="Times New Roman"/>
          <w:szCs w:val="24"/>
          <w:lang w:val="fr-FR"/>
        </w:rPr>
        <w:t>Frances</w:t>
      </w:r>
      <w:r w:rsidRPr="003D7252">
        <w:rPr>
          <w:rFonts w:cs="Times New Roman"/>
          <w:szCs w:val="24"/>
          <w:vertAlign w:val="superscript"/>
          <w:lang w:val="fr-FR"/>
        </w:rPr>
        <w:t>a</w:t>
      </w:r>
      <w:proofErr w:type="spellEnd"/>
      <w:r w:rsidRPr="003D7252">
        <w:rPr>
          <w:rFonts w:cs="Times New Roman"/>
          <w:szCs w:val="24"/>
          <w:lang w:val="fr-FR"/>
        </w:rPr>
        <w:t xml:space="preserve">, Marie-Sophie </w:t>
      </w:r>
      <w:proofErr w:type="spellStart"/>
      <w:r w:rsidRPr="003D7252">
        <w:rPr>
          <w:rFonts w:cs="Times New Roman"/>
          <w:szCs w:val="24"/>
          <w:lang w:val="fr-FR"/>
        </w:rPr>
        <w:t>Charvolin</w:t>
      </w:r>
      <w:r w:rsidRPr="003D7252">
        <w:rPr>
          <w:rFonts w:cs="Times New Roman"/>
          <w:szCs w:val="24"/>
          <w:vertAlign w:val="superscript"/>
          <w:lang w:val="fr-FR"/>
        </w:rPr>
        <w:t>b</w:t>
      </w:r>
      <w:proofErr w:type="spellEnd"/>
      <w:r w:rsidRPr="003D7252">
        <w:rPr>
          <w:rFonts w:cs="Times New Roman"/>
          <w:szCs w:val="24"/>
          <w:lang w:val="fr-FR"/>
        </w:rPr>
        <w:t xml:space="preserve">, Amélie </w:t>
      </w:r>
      <w:proofErr w:type="spellStart"/>
      <w:r w:rsidRPr="003D7252">
        <w:rPr>
          <w:rFonts w:cs="Times New Roman"/>
          <w:szCs w:val="24"/>
          <w:lang w:val="fr-FR"/>
        </w:rPr>
        <w:t>Ludwig</w:t>
      </w:r>
      <w:r w:rsidRPr="003D7252">
        <w:rPr>
          <w:rFonts w:cs="Times New Roman"/>
          <w:szCs w:val="24"/>
          <w:vertAlign w:val="superscript"/>
          <w:lang w:val="fr-FR"/>
        </w:rPr>
        <w:t>a</w:t>
      </w:r>
      <w:proofErr w:type="spellEnd"/>
      <w:r w:rsidRPr="003D7252">
        <w:rPr>
          <w:rFonts w:cs="Times New Roman"/>
          <w:szCs w:val="24"/>
          <w:lang w:val="fr-FR"/>
        </w:rPr>
        <w:t xml:space="preserve">, Esther Le </w:t>
      </w:r>
      <w:proofErr w:type="spellStart"/>
      <w:r w:rsidRPr="003D7252">
        <w:rPr>
          <w:rFonts w:cs="Times New Roman"/>
          <w:szCs w:val="24"/>
          <w:lang w:val="fr-FR"/>
        </w:rPr>
        <w:t>Toquin</w:t>
      </w:r>
      <w:r w:rsidRPr="003D7252">
        <w:rPr>
          <w:rFonts w:cs="Times New Roman"/>
          <w:szCs w:val="24"/>
          <w:vertAlign w:val="superscript"/>
          <w:lang w:val="fr-FR"/>
        </w:rPr>
        <w:t>c</w:t>
      </w:r>
      <w:proofErr w:type="spellEnd"/>
      <w:r w:rsidRPr="003D7252">
        <w:rPr>
          <w:rFonts w:cs="Times New Roman"/>
          <w:szCs w:val="24"/>
          <w:lang w:val="fr-FR"/>
        </w:rPr>
        <w:t xml:space="preserve">, Emmanuel </w:t>
      </w:r>
      <w:proofErr w:type="spellStart"/>
      <w:r w:rsidRPr="003D7252">
        <w:rPr>
          <w:rFonts w:cs="Times New Roman"/>
          <w:szCs w:val="24"/>
          <w:lang w:val="fr-FR"/>
        </w:rPr>
        <w:t>Comoy</w:t>
      </w:r>
      <w:r w:rsidRPr="003D7252">
        <w:rPr>
          <w:rFonts w:cs="Times New Roman"/>
          <w:szCs w:val="24"/>
          <w:vertAlign w:val="superscript"/>
          <w:lang w:val="fr-FR"/>
        </w:rPr>
        <w:t>d</w:t>
      </w:r>
      <w:proofErr w:type="spellEnd"/>
      <w:r w:rsidRPr="003D7252">
        <w:rPr>
          <w:rFonts w:cs="Times New Roman"/>
          <w:szCs w:val="24"/>
          <w:lang w:val="fr-FR"/>
        </w:rPr>
        <w:t xml:space="preserve">, Agnès </w:t>
      </w:r>
      <w:proofErr w:type="spellStart"/>
      <w:r w:rsidRPr="003D7252">
        <w:rPr>
          <w:rFonts w:cs="Times New Roman"/>
          <w:szCs w:val="24"/>
          <w:lang w:val="fr-FR"/>
        </w:rPr>
        <w:t>Grandjean</w:t>
      </w:r>
      <w:r w:rsidRPr="003D7252">
        <w:rPr>
          <w:rFonts w:cs="Times New Roman"/>
          <w:szCs w:val="24"/>
          <w:vertAlign w:val="superscript"/>
          <w:lang w:val="fr-FR"/>
        </w:rPr>
        <w:t>a</w:t>
      </w:r>
      <w:proofErr w:type="spellEnd"/>
      <w:r w:rsidRPr="003D7252">
        <w:rPr>
          <w:rFonts w:cs="Times New Roman"/>
          <w:szCs w:val="24"/>
          <w:lang w:val="fr-FR"/>
        </w:rPr>
        <w:t xml:space="preserve">, Alban </w:t>
      </w:r>
      <w:proofErr w:type="spellStart"/>
      <w:r w:rsidRPr="003D7252">
        <w:rPr>
          <w:rFonts w:cs="Times New Roman"/>
          <w:szCs w:val="24"/>
          <w:lang w:val="fr-FR"/>
        </w:rPr>
        <w:t>Gossard</w:t>
      </w:r>
      <w:r w:rsidRPr="003D7252">
        <w:rPr>
          <w:rFonts w:cs="Times New Roman"/>
          <w:szCs w:val="24"/>
          <w:vertAlign w:val="superscript"/>
          <w:lang w:val="fr-FR"/>
        </w:rPr>
        <w:t>a</w:t>
      </w:r>
      <w:proofErr w:type="spellEnd"/>
      <w:r w:rsidRPr="003D7252">
        <w:rPr>
          <w:rFonts w:cs="Times New Roman"/>
          <w:szCs w:val="24"/>
          <w:lang w:val="fr-FR"/>
        </w:rPr>
        <w:t xml:space="preserve"> </w:t>
      </w:r>
    </w:p>
    <w:p w14:paraId="4C88EE48" w14:textId="77777777" w:rsidR="00524F1A" w:rsidRPr="003D7252" w:rsidRDefault="00524F1A" w:rsidP="00524F1A">
      <w:pPr>
        <w:jc w:val="center"/>
        <w:rPr>
          <w:rFonts w:cs="Times New Roman"/>
          <w:szCs w:val="24"/>
          <w:lang w:val="fr-FR"/>
        </w:rPr>
      </w:pPr>
    </w:p>
    <w:p w14:paraId="3C2A1FD7" w14:textId="77777777" w:rsidR="00524F1A" w:rsidRPr="003D7252" w:rsidRDefault="00524F1A" w:rsidP="00524F1A">
      <w:pPr>
        <w:rPr>
          <w:rFonts w:cs="Times New Roman"/>
          <w:i/>
          <w:szCs w:val="24"/>
          <w:lang w:val="fr-FR"/>
        </w:rPr>
      </w:pPr>
      <w:proofErr w:type="spellStart"/>
      <w:proofErr w:type="gramStart"/>
      <w:r w:rsidRPr="003D7252">
        <w:rPr>
          <w:rFonts w:cs="Times New Roman"/>
          <w:i/>
          <w:szCs w:val="24"/>
          <w:vertAlign w:val="superscript"/>
          <w:lang w:val="fr-FR"/>
        </w:rPr>
        <w:t>a</w:t>
      </w:r>
      <w:r w:rsidRPr="003D7252">
        <w:rPr>
          <w:rFonts w:cs="Times New Roman"/>
          <w:i/>
          <w:szCs w:val="24"/>
          <w:lang w:val="fr-FR"/>
        </w:rPr>
        <w:t>CEA</w:t>
      </w:r>
      <w:proofErr w:type="spellEnd"/>
      <w:proofErr w:type="gramEnd"/>
      <w:r w:rsidRPr="003D7252">
        <w:rPr>
          <w:rFonts w:cs="Times New Roman"/>
          <w:i/>
          <w:szCs w:val="24"/>
          <w:lang w:val="fr-FR"/>
        </w:rPr>
        <w:t xml:space="preserve">, DES, ISEC, DMRC, </w:t>
      </w:r>
      <w:proofErr w:type="spellStart"/>
      <w:r w:rsidRPr="003D7252">
        <w:rPr>
          <w:rFonts w:cs="Times New Roman"/>
          <w:i/>
          <w:szCs w:val="24"/>
          <w:lang w:val="fr-FR"/>
        </w:rPr>
        <w:t>Univ</w:t>
      </w:r>
      <w:proofErr w:type="spellEnd"/>
      <w:r w:rsidRPr="003D7252">
        <w:rPr>
          <w:rFonts w:cs="Times New Roman"/>
          <w:i/>
          <w:szCs w:val="24"/>
          <w:lang w:val="fr-FR"/>
        </w:rPr>
        <w:t xml:space="preserve"> Montpellier, Marcoule, France</w:t>
      </w:r>
    </w:p>
    <w:p w14:paraId="37145339" w14:textId="77777777" w:rsidR="00524F1A" w:rsidRPr="003D7252" w:rsidRDefault="00524F1A" w:rsidP="00524F1A">
      <w:pPr>
        <w:rPr>
          <w:rFonts w:cs="Times New Roman"/>
          <w:i/>
          <w:szCs w:val="24"/>
          <w:lang w:val="fr-FR"/>
        </w:rPr>
      </w:pPr>
      <w:proofErr w:type="spellStart"/>
      <w:proofErr w:type="gramStart"/>
      <w:r w:rsidRPr="003D7252">
        <w:rPr>
          <w:rFonts w:cs="Times New Roman"/>
          <w:i/>
          <w:szCs w:val="24"/>
          <w:vertAlign w:val="superscript"/>
          <w:lang w:val="fr-FR"/>
        </w:rPr>
        <w:t>b</w:t>
      </w:r>
      <w:r w:rsidRPr="003D7252">
        <w:rPr>
          <w:rFonts w:cs="Times New Roman"/>
          <w:i/>
          <w:szCs w:val="24"/>
          <w:lang w:val="fr-FR"/>
        </w:rPr>
        <w:t>NBC</w:t>
      </w:r>
      <w:proofErr w:type="spellEnd"/>
      <w:proofErr w:type="gramEnd"/>
      <w:r w:rsidRPr="003D7252">
        <w:rPr>
          <w:rFonts w:cs="Times New Roman"/>
          <w:i/>
          <w:szCs w:val="24"/>
          <w:lang w:val="fr-FR"/>
        </w:rPr>
        <w:t xml:space="preserve">-Sys, 8 rue </w:t>
      </w:r>
      <w:proofErr w:type="spellStart"/>
      <w:r w:rsidRPr="003D7252">
        <w:rPr>
          <w:rFonts w:cs="Times New Roman"/>
          <w:i/>
          <w:szCs w:val="24"/>
          <w:lang w:val="fr-FR"/>
        </w:rPr>
        <w:t>Bonnevialle</w:t>
      </w:r>
      <w:proofErr w:type="spellEnd"/>
      <w:r w:rsidRPr="003D7252">
        <w:rPr>
          <w:rFonts w:cs="Times New Roman"/>
          <w:i/>
          <w:szCs w:val="24"/>
          <w:lang w:val="fr-FR"/>
        </w:rPr>
        <w:t xml:space="preserve">, BP 10226, 42408 Saint </w:t>
      </w:r>
      <w:proofErr w:type="spellStart"/>
      <w:r w:rsidRPr="003D7252">
        <w:rPr>
          <w:rFonts w:cs="Times New Roman"/>
          <w:i/>
          <w:szCs w:val="24"/>
          <w:lang w:val="fr-FR"/>
        </w:rPr>
        <w:t>Chamond</w:t>
      </w:r>
      <w:proofErr w:type="spellEnd"/>
      <w:r w:rsidRPr="003D7252">
        <w:rPr>
          <w:rFonts w:cs="Times New Roman"/>
          <w:i/>
          <w:szCs w:val="24"/>
          <w:lang w:val="fr-FR"/>
        </w:rPr>
        <w:t>, France</w:t>
      </w:r>
    </w:p>
    <w:p w14:paraId="21C97C90" w14:textId="77777777" w:rsidR="00524F1A" w:rsidRPr="003D7252" w:rsidRDefault="00524F1A" w:rsidP="00524F1A">
      <w:pPr>
        <w:rPr>
          <w:rFonts w:cs="Times New Roman"/>
          <w:i/>
          <w:szCs w:val="24"/>
          <w:lang w:val="fr-FR"/>
        </w:rPr>
      </w:pPr>
      <w:proofErr w:type="spellStart"/>
      <w:proofErr w:type="gramStart"/>
      <w:r w:rsidRPr="003D7252">
        <w:rPr>
          <w:rFonts w:cs="Times New Roman"/>
          <w:i/>
          <w:szCs w:val="24"/>
          <w:vertAlign w:val="superscript"/>
          <w:lang w:val="fr-FR"/>
        </w:rPr>
        <w:t>c</w:t>
      </w:r>
      <w:r w:rsidRPr="003D7252">
        <w:rPr>
          <w:rFonts w:cs="Times New Roman"/>
          <w:i/>
          <w:szCs w:val="24"/>
          <w:lang w:val="fr-FR"/>
        </w:rPr>
        <w:t>CEA</w:t>
      </w:r>
      <w:proofErr w:type="spellEnd"/>
      <w:proofErr w:type="gramEnd"/>
      <w:r w:rsidRPr="003D7252">
        <w:rPr>
          <w:rFonts w:cs="Times New Roman"/>
          <w:i/>
          <w:szCs w:val="24"/>
          <w:lang w:val="fr-FR"/>
        </w:rPr>
        <w:t>, DRF, JOLIOT, DMTS, SPI, Laboratoire Innovations Détection et Diagnostic, Marcoule, F-30207 Bagnols-sur-Cèze, France</w:t>
      </w:r>
    </w:p>
    <w:p w14:paraId="49BC6565" w14:textId="77777777" w:rsidR="00524F1A" w:rsidRPr="003D7252" w:rsidRDefault="00524F1A" w:rsidP="00524F1A">
      <w:pPr>
        <w:rPr>
          <w:rFonts w:cs="Times New Roman"/>
          <w:i/>
          <w:szCs w:val="24"/>
          <w:lang w:val="fr-FR"/>
        </w:rPr>
      </w:pPr>
      <w:proofErr w:type="spellStart"/>
      <w:proofErr w:type="gramStart"/>
      <w:r w:rsidRPr="003D7252">
        <w:rPr>
          <w:rFonts w:cs="Times New Roman"/>
          <w:i/>
          <w:szCs w:val="24"/>
          <w:vertAlign w:val="superscript"/>
          <w:lang w:val="fr-FR"/>
        </w:rPr>
        <w:t>d</w:t>
      </w:r>
      <w:r w:rsidRPr="003D7252">
        <w:rPr>
          <w:rFonts w:cs="Times New Roman"/>
          <w:i/>
          <w:szCs w:val="24"/>
          <w:lang w:val="fr-FR"/>
        </w:rPr>
        <w:t>CEA</w:t>
      </w:r>
      <w:proofErr w:type="spellEnd"/>
      <w:proofErr w:type="gramEnd"/>
      <w:r w:rsidRPr="003D7252">
        <w:rPr>
          <w:rFonts w:cs="Times New Roman"/>
          <w:i/>
          <w:szCs w:val="24"/>
          <w:lang w:val="fr-FR"/>
        </w:rPr>
        <w:t>, DRF, Institut Francois Jacob, Service d’Etude des Prions et des Infections Atypiques, Fontenay aux Roses, France</w:t>
      </w:r>
    </w:p>
    <w:p w14:paraId="5B8ABFA9" w14:textId="77777777" w:rsidR="00524F1A" w:rsidRPr="003D7252" w:rsidRDefault="00524F1A" w:rsidP="00524F1A">
      <w:pPr>
        <w:rPr>
          <w:rFonts w:cs="Times New Roman"/>
          <w:i/>
          <w:szCs w:val="24"/>
          <w:lang w:val="fr-FR"/>
        </w:rPr>
      </w:pPr>
    </w:p>
    <w:p w14:paraId="74E7ACC7" w14:textId="77777777" w:rsidR="00524F1A" w:rsidRPr="000B0278" w:rsidRDefault="00524F1A" w:rsidP="00524F1A">
      <w:pPr>
        <w:rPr>
          <w:lang w:val="en-US"/>
        </w:rPr>
      </w:pPr>
      <w:r w:rsidRPr="000B0278">
        <w:rPr>
          <w:lang w:val="en-US"/>
        </w:rPr>
        <w:t xml:space="preserve">*Corresponding author: C. </w:t>
      </w:r>
      <w:proofErr w:type="spellStart"/>
      <w:r w:rsidRPr="000B0278">
        <w:rPr>
          <w:lang w:val="en-US"/>
        </w:rPr>
        <w:t>Lepeytre</w:t>
      </w:r>
      <w:proofErr w:type="spellEnd"/>
    </w:p>
    <w:p w14:paraId="76DC4E31" w14:textId="77777777" w:rsidR="00524F1A" w:rsidRDefault="00524F1A" w:rsidP="00524F1A">
      <w:pPr>
        <w:rPr>
          <w:lang w:val="en-US"/>
        </w:rPr>
      </w:pPr>
      <w:r w:rsidRPr="00421443">
        <w:rPr>
          <w:lang w:val="en-US"/>
        </w:rPr>
        <w:t xml:space="preserve">Email address: </w:t>
      </w:r>
      <w:hyperlink r:id="rId7" w:history="1">
        <w:r w:rsidRPr="00093A09">
          <w:rPr>
            <w:lang w:val="en-US"/>
          </w:rPr>
          <w:t>celia.lepeytre@cea.fr</w:t>
        </w:r>
      </w:hyperlink>
    </w:p>
    <w:p w14:paraId="7CB0B066" w14:textId="77777777" w:rsidR="00524F1A" w:rsidRDefault="00524F1A"/>
    <w:p w14:paraId="216C29F9" w14:textId="77777777" w:rsidR="00C43568" w:rsidRDefault="00C43568" w:rsidP="00C43568">
      <w:pPr>
        <w:jc w:val="center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Table of content</w:t>
      </w:r>
    </w:p>
    <w:p w14:paraId="20E26A6B" w14:textId="0FF9AF9E" w:rsidR="00C43568" w:rsidRPr="00794F78" w:rsidRDefault="00C43568" w:rsidP="00794F78">
      <w:pPr>
        <w:pStyle w:val="Paragraphedeliste"/>
        <w:numPr>
          <w:ilvl w:val="0"/>
          <w:numId w:val="4"/>
        </w:numPr>
        <w:rPr>
          <w:rFonts w:cs="Times New Roman"/>
          <w:lang w:val="en-US"/>
        </w:rPr>
      </w:pPr>
      <w:r w:rsidRPr="00C43568">
        <w:rPr>
          <w:rFonts w:cs="Times New Roman"/>
          <w:lang w:val="en-US"/>
        </w:rPr>
        <w:t>Description of the titration method used to measure the active chlorine percentage in the CBR gels</w:t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</w:r>
      <w:r w:rsidR="00794F78">
        <w:rPr>
          <w:rFonts w:cs="Times New Roman"/>
          <w:lang w:val="en-US"/>
        </w:rPr>
        <w:tab/>
        <w:t>S2</w:t>
      </w:r>
    </w:p>
    <w:p w14:paraId="29194C83" w14:textId="0E79D6BD" w:rsidR="00C43568" w:rsidRPr="00C43568" w:rsidRDefault="00C43568" w:rsidP="00C43568">
      <w:pPr>
        <w:pStyle w:val="Paragraphedeliste"/>
        <w:numPr>
          <w:ilvl w:val="0"/>
          <w:numId w:val="4"/>
        </w:numPr>
        <w:rPr>
          <w:rFonts w:cs="Times New Roman"/>
          <w:lang w:val="en-US"/>
        </w:rPr>
      </w:pPr>
      <w:r w:rsidRPr="00C43568">
        <w:rPr>
          <w:rFonts w:cs="Times New Roman"/>
          <w:lang w:val="en-US"/>
        </w:rPr>
        <w:t>Chemical structures of the three chemical warfare agents investigated in this study</w:t>
      </w:r>
      <w:r>
        <w:rPr>
          <w:rFonts w:cs="Times New Roman"/>
          <w:lang w:val="en-US"/>
        </w:rPr>
        <w:tab/>
        <w:t>S</w:t>
      </w:r>
      <w:r w:rsidR="00794F78">
        <w:rPr>
          <w:rFonts w:cs="Times New Roman"/>
          <w:lang w:val="en-US"/>
        </w:rPr>
        <w:t>4</w:t>
      </w:r>
    </w:p>
    <w:p w14:paraId="4A98F590" w14:textId="6E930944" w:rsidR="00C43568" w:rsidRDefault="00C43568" w:rsidP="00C43568">
      <w:pPr>
        <w:pStyle w:val="Lgende"/>
        <w:numPr>
          <w:ilvl w:val="0"/>
          <w:numId w:val="6"/>
        </w:numPr>
      </w:pPr>
      <w:bookmarkStart w:id="0" w:name="_GoBack"/>
      <w:bookmarkEnd w:id="0"/>
      <w:r w:rsidRPr="005609DC">
        <w:rPr>
          <w:b/>
          <w:bCs/>
        </w:rPr>
        <w:t>Fi</w:t>
      </w:r>
      <w:r>
        <w:rPr>
          <w:b/>
          <w:bCs/>
        </w:rPr>
        <w:t xml:space="preserve">g. SI 1. </w:t>
      </w:r>
      <w:r w:rsidRPr="005C25F1">
        <w:t xml:space="preserve">Chemical structure of (a) </w:t>
      </w:r>
      <w:r>
        <w:t>sulfur mustard</w:t>
      </w:r>
      <w:r w:rsidRPr="005C25F1">
        <w:t xml:space="preserve"> (HD), (b) VX and (c) </w:t>
      </w:r>
      <w:proofErr w:type="spellStart"/>
      <w:r>
        <w:t>s</w:t>
      </w:r>
      <w:r w:rsidRPr="005C25F1">
        <w:t>oman</w:t>
      </w:r>
      <w:proofErr w:type="spellEnd"/>
      <w:r w:rsidRPr="005C25F1">
        <w:t xml:space="preserve"> (GD)</w:t>
      </w:r>
      <w:r>
        <w:t>.</w:t>
      </w:r>
      <w:r>
        <w:fldChar w:fldCharType="begin"/>
      </w:r>
      <w:r>
        <w:instrText xml:space="preserve"> ADDIN </w:instrText>
      </w:r>
      <w:r>
        <w:fldChar w:fldCharType="end"/>
      </w:r>
      <w:r>
        <w:tab/>
      </w:r>
      <w:r>
        <w:tab/>
        <w:t>S</w:t>
      </w:r>
      <w:r w:rsidR="00794F78">
        <w:t>4</w:t>
      </w:r>
    </w:p>
    <w:p w14:paraId="46A403DB" w14:textId="2C3E77B2" w:rsidR="00794F78" w:rsidRPr="00794F78" w:rsidRDefault="00794F78" w:rsidP="00794F78">
      <w:pPr>
        <w:pStyle w:val="Paragraphedeliste"/>
        <w:numPr>
          <w:ilvl w:val="0"/>
          <w:numId w:val="4"/>
        </w:numPr>
        <w:rPr>
          <w:lang w:val="en-US"/>
        </w:rPr>
      </w:pPr>
      <w:r w:rsidRPr="00794F78">
        <w:rPr>
          <w:rFonts w:cs="Times New Roman"/>
          <w:lang w:val="en-US"/>
        </w:rPr>
        <w:t>Estimation of the CBR gel density</w:t>
      </w:r>
      <w:r w:rsidRPr="00794F78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S5</w:t>
      </w:r>
    </w:p>
    <w:p w14:paraId="0E59B93E" w14:textId="435958FD" w:rsidR="00794F78" w:rsidRPr="00794F78" w:rsidRDefault="00794F78" w:rsidP="00794F78">
      <w:pPr>
        <w:pStyle w:val="Paragraphedeliste"/>
        <w:numPr>
          <w:ilvl w:val="0"/>
          <w:numId w:val="4"/>
        </w:numPr>
        <w:rPr>
          <w:lang w:val="en-US"/>
        </w:rPr>
      </w:pPr>
      <w:r w:rsidRPr="00794F78">
        <w:rPr>
          <w:rFonts w:cs="Times New Roman"/>
          <w:lang w:val="en-US"/>
        </w:rPr>
        <w:t>Description of the Hershel-</w:t>
      </w:r>
      <w:proofErr w:type="spellStart"/>
      <w:r w:rsidRPr="00794F78">
        <w:rPr>
          <w:rFonts w:cs="Times New Roman"/>
          <w:lang w:val="en-US"/>
        </w:rPr>
        <w:t>Bulkley</w:t>
      </w:r>
      <w:proofErr w:type="spellEnd"/>
      <w:r w:rsidRPr="00794F78">
        <w:rPr>
          <w:rFonts w:cs="Times New Roman"/>
          <w:lang w:val="en-US"/>
        </w:rPr>
        <w:t xml:space="preserve"> model</w:t>
      </w:r>
      <w:r w:rsidRPr="00794F78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S6</w:t>
      </w:r>
    </w:p>
    <w:p w14:paraId="6FE0C146" w14:textId="77777777" w:rsidR="00794F78" w:rsidRPr="00794F78" w:rsidRDefault="00794F78" w:rsidP="00794F78">
      <w:pPr>
        <w:rPr>
          <w:lang w:val="en-US"/>
        </w:rPr>
      </w:pPr>
    </w:p>
    <w:p w14:paraId="69116316" w14:textId="77777777" w:rsidR="00524F1A" w:rsidRPr="00524F1A" w:rsidRDefault="00524F1A">
      <w:pPr>
        <w:rPr>
          <w:lang w:val="en-US"/>
        </w:rPr>
      </w:pPr>
    </w:p>
    <w:p w14:paraId="0A65051A" w14:textId="17E5E0E6" w:rsidR="00524F1A" w:rsidRDefault="00524F1A">
      <w:pPr>
        <w:spacing w:after="160" w:line="259" w:lineRule="auto"/>
        <w:jc w:val="left"/>
      </w:pPr>
    </w:p>
    <w:p w14:paraId="60816EB7" w14:textId="77777777" w:rsidR="00524F1A" w:rsidRPr="0041327B" w:rsidRDefault="00524F1A" w:rsidP="00524F1A">
      <w:pPr>
        <w:pStyle w:val="Titre5"/>
      </w:pPr>
      <w:r w:rsidRPr="0041327B">
        <w:lastRenderedPageBreak/>
        <w:t xml:space="preserve">Description of the titration method </w:t>
      </w:r>
      <w:r>
        <w:t>used to measure</w:t>
      </w:r>
      <w:r w:rsidRPr="0041327B">
        <w:t xml:space="preserve"> </w:t>
      </w:r>
      <w:r>
        <w:t xml:space="preserve">the </w:t>
      </w:r>
      <w:r w:rsidRPr="0041327B">
        <w:t xml:space="preserve">active chlorine </w:t>
      </w:r>
      <w:r>
        <w:t>percentage</w:t>
      </w:r>
      <w:r w:rsidRPr="0041327B">
        <w:t xml:space="preserve"> </w:t>
      </w:r>
      <w:r>
        <w:t>in the CBR gels</w:t>
      </w:r>
    </w:p>
    <w:p w14:paraId="60814C21" w14:textId="77777777" w:rsidR="00524F1A" w:rsidRPr="006D7652" w:rsidRDefault="00524F1A" w:rsidP="00524F1A">
      <w:pPr>
        <w:ind w:firstLine="708"/>
        <w:rPr>
          <w:szCs w:val="24"/>
          <w:lang w:val="en-US"/>
        </w:rPr>
      </w:pPr>
      <w:r w:rsidRPr="00814DBF">
        <w:rPr>
          <w:szCs w:val="24"/>
          <w:lang w:val="en-US"/>
        </w:rPr>
        <w:t xml:space="preserve">The active chlorine </w:t>
      </w:r>
      <w:r>
        <w:rPr>
          <w:szCs w:val="24"/>
          <w:lang w:val="en-US"/>
        </w:rPr>
        <w:t>percentage</w:t>
      </w:r>
      <w:r w:rsidRPr="00814DBF"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was defined</w:t>
      </w:r>
      <w:proofErr w:type="gramEnd"/>
      <w:r>
        <w:rPr>
          <w:szCs w:val="24"/>
          <w:lang w:val="en-US"/>
        </w:rPr>
        <w:t xml:space="preserve"> as</w:t>
      </w:r>
      <w:r w:rsidRPr="00814DBF">
        <w:rPr>
          <w:szCs w:val="24"/>
          <w:lang w:val="en-US"/>
        </w:rPr>
        <w:t xml:space="preserve"> the mass</w:t>
      </w:r>
      <w:r>
        <w:rPr>
          <w:szCs w:val="24"/>
          <w:lang w:val="en-US"/>
        </w:rPr>
        <w:t xml:space="preserve"> concentration</w:t>
      </w:r>
      <w:r w:rsidRPr="00814DBF">
        <w:rPr>
          <w:szCs w:val="24"/>
          <w:lang w:val="en-US"/>
        </w:rPr>
        <w:t xml:space="preserve"> of chlorine </w:t>
      </w:r>
      <w:r>
        <w:rPr>
          <w:szCs w:val="24"/>
          <w:lang w:val="en-US"/>
        </w:rPr>
        <w:t>in</w:t>
      </w:r>
      <w:r w:rsidRPr="00814DB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 CBR gels. Samples (</w:t>
      </w:r>
      <w:r w:rsidRPr="00E57A75">
        <w:rPr>
          <w:szCs w:val="24"/>
          <w:lang w:val="en-US"/>
        </w:rPr>
        <w:t>1</w:t>
      </w:r>
      <w:r>
        <w:rPr>
          <w:szCs w:val="24"/>
          <w:lang w:val="en-US"/>
        </w:rPr>
        <w:t xml:space="preserve"> </w:t>
      </w:r>
      <w:r w:rsidRPr="00E57A75">
        <w:rPr>
          <w:szCs w:val="24"/>
          <w:lang w:val="en-US"/>
        </w:rPr>
        <w:t>g</w:t>
      </w:r>
      <w:r>
        <w:rPr>
          <w:szCs w:val="24"/>
          <w:lang w:val="en-US"/>
        </w:rPr>
        <w:t>)</w:t>
      </w:r>
      <w:r w:rsidRPr="00E57A75">
        <w:rPr>
          <w:szCs w:val="24"/>
          <w:lang w:val="en-US"/>
        </w:rPr>
        <w:t xml:space="preserve"> of </w:t>
      </w:r>
      <w:r>
        <w:rPr>
          <w:szCs w:val="24"/>
          <w:lang w:val="en-US"/>
        </w:rPr>
        <w:t>CBR gel</w:t>
      </w:r>
      <w:r w:rsidRPr="00E57A75">
        <w:rPr>
          <w:szCs w:val="24"/>
          <w:lang w:val="en-US"/>
        </w:rPr>
        <w:t xml:space="preserve"> </w:t>
      </w:r>
      <w:proofErr w:type="gramStart"/>
      <w:r w:rsidRPr="00E57A75">
        <w:rPr>
          <w:szCs w:val="24"/>
          <w:lang w:val="en-US"/>
        </w:rPr>
        <w:t xml:space="preserve">were </w:t>
      </w:r>
      <w:r>
        <w:rPr>
          <w:szCs w:val="24"/>
          <w:lang w:val="en-US"/>
        </w:rPr>
        <w:t>dispersed in</w:t>
      </w:r>
      <w:r w:rsidRPr="00E57A75">
        <w:rPr>
          <w:szCs w:val="24"/>
          <w:lang w:val="en-US"/>
        </w:rPr>
        <w:t xml:space="preserve"> 10</w:t>
      </w:r>
      <w:r>
        <w:rPr>
          <w:szCs w:val="24"/>
          <w:lang w:val="en-US"/>
        </w:rPr>
        <w:t xml:space="preserve"> </w:t>
      </w:r>
      <w:r w:rsidRPr="00E57A75">
        <w:rPr>
          <w:szCs w:val="24"/>
          <w:lang w:val="en-US"/>
        </w:rPr>
        <w:t xml:space="preserve">mL of </w:t>
      </w:r>
      <w:r>
        <w:rPr>
          <w:szCs w:val="24"/>
          <w:lang w:val="en-US"/>
        </w:rPr>
        <w:t xml:space="preserve">deionized </w:t>
      </w:r>
      <w:r w:rsidRPr="00E57A75">
        <w:rPr>
          <w:szCs w:val="24"/>
          <w:lang w:val="en-US"/>
        </w:rPr>
        <w:t xml:space="preserve">water and stirred until </w:t>
      </w:r>
      <w:r>
        <w:rPr>
          <w:szCs w:val="24"/>
          <w:lang w:val="en-US"/>
        </w:rPr>
        <w:t>the mixture turned</w:t>
      </w:r>
      <w:r w:rsidRPr="00E57A75">
        <w:rPr>
          <w:szCs w:val="24"/>
          <w:lang w:val="en-US"/>
        </w:rPr>
        <w:t xml:space="preserve"> light pink</w:t>
      </w:r>
      <w:proofErr w:type="gramEnd"/>
      <w:r w:rsidRPr="00E57A75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Then, </w:t>
      </w:r>
      <w:r w:rsidRPr="00E57A75">
        <w:rPr>
          <w:szCs w:val="24"/>
          <w:lang w:val="en-US"/>
        </w:rPr>
        <w:t>20</w:t>
      </w:r>
      <w:r>
        <w:rPr>
          <w:szCs w:val="24"/>
          <w:lang w:val="en-US"/>
        </w:rPr>
        <w:t xml:space="preserve"> </w:t>
      </w:r>
      <w:r w:rsidRPr="00E57A75">
        <w:rPr>
          <w:szCs w:val="24"/>
          <w:lang w:val="en-US"/>
        </w:rPr>
        <w:t xml:space="preserve">mL of a </w:t>
      </w:r>
      <w:r>
        <w:rPr>
          <w:szCs w:val="24"/>
          <w:lang w:val="en-US"/>
        </w:rPr>
        <w:t xml:space="preserve">0.1 M </w:t>
      </w:r>
      <w:r w:rsidRPr="00E57A75">
        <w:rPr>
          <w:szCs w:val="24"/>
          <w:lang w:val="en-US"/>
        </w:rPr>
        <w:t xml:space="preserve">potassium </w:t>
      </w:r>
      <w:proofErr w:type="gramStart"/>
      <w:r w:rsidRPr="00E57A75">
        <w:rPr>
          <w:szCs w:val="24"/>
          <w:lang w:val="en-US"/>
        </w:rPr>
        <w:t>iodide</w:t>
      </w:r>
      <w:r>
        <w:rPr>
          <w:szCs w:val="24"/>
          <w:lang w:val="en-US"/>
        </w:rPr>
        <w:t xml:space="preserve"> </w:t>
      </w:r>
      <w:r w:rsidRPr="00E57A75">
        <w:rPr>
          <w:szCs w:val="24"/>
          <w:lang w:val="en-US"/>
        </w:rPr>
        <w:t xml:space="preserve"> solution</w:t>
      </w:r>
      <w:proofErr w:type="gramEnd"/>
      <w:r w:rsidRPr="00E57A75">
        <w:rPr>
          <w:szCs w:val="24"/>
          <w:lang w:val="en-US"/>
        </w:rPr>
        <w:t xml:space="preserve"> and 3</w:t>
      </w:r>
      <w:r>
        <w:rPr>
          <w:szCs w:val="24"/>
          <w:lang w:val="en-US"/>
        </w:rPr>
        <w:t>–</w:t>
      </w:r>
      <w:r w:rsidRPr="00E57A75">
        <w:rPr>
          <w:szCs w:val="24"/>
          <w:lang w:val="en-US"/>
        </w:rPr>
        <w:t>5 drops of 95%</w:t>
      </w:r>
      <w:r>
        <w:rPr>
          <w:szCs w:val="24"/>
          <w:lang w:val="en-US"/>
        </w:rPr>
        <w:t xml:space="preserve"> </w:t>
      </w:r>
      <w:r w:rsidRPr="00E57A75">
        <w:rPr>
          <w:szCs w:val="24"/>
          <w:lang w:val="en-US"/>
        </w:rPr>
        <w:t>H</w:t>
      </w:r>
      <w:r w:rsidRPr="00E57A75">
        <w:rPr>
          <w:szCs w:val="24"/>
          <w:vertAlign w:val="subscript"/>
          <w:lang w:val="en-US"/>
        </w:rPr>
        <w:t>2</w:t>
      </w:r>
      <w:r w:rsidRPr="00E57A75">
        <w:rPr>
          <w:szCs w:val="24"/>
          <w:lang w:val="en-US"/>
        </w:rPr>
        <w:t>SO</w:t>
      </w:r>
      <w:r w:rsidRPr="00E57A75">
        <w:rPr>
          <w:szCs w:val="24"/>
          <w:vertAlign w:val="subscript"/>
          <w:lang w:val="en-US"/>
        </w:rPr>
        <w:t>4</w:t>
      </w:r>
      <w:r w:rsidRPr="00E57A75">
        <w:rPr>
          <w:szCs w:val="24"/>
          <w:lang w:val="en-US"/>
        </w:rPr>
        <w:t xml:space="preserve"> were added </w:t>
      </w:r>
      <w:r>
        <w:rPr>
          <w:szCs w:val="24"/>
          <w:lang w:val="en-US"/>
        </w:rPr>
        <w:t>and the solution turned brown</w:t>
      </w:r>
      <w:r w:rsidRPr="00E57A75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At this stage</w:t>
      </w:r>
      <w:r w:rsidRPr="00E57A75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potassium iodide</w:t>
      </w:r>
      <w:r w:rsidRPr="00E57A75">
        <w:rPr>
          <w:szCs w:val="24"/>
          <w:lang w:val="en-US"/>
        </w:rPr>
        <w:t xml:space="preserve"> is in excess. A</w:t>
      </w:r>
      <w:r>
        <w:rPr>
          <w:szCs w:val="24"/>
          <w:lang w:val="en-US"/>
        </w:rPr>
        <w:t xml:space="preserve"> 0.1 M </w:t>
      </w:r>
      <w:r w:rsidRPr="00E57A75">
        <w:rPr>
          <w:szCs w:val="24"/>
          <w:lang w:val="en-US"/>
        </w:rPr>
        <w:t xml:space="preserve">solution of sodium thiosulfate </w:t>
      </w:r>
      <w:proofErr w:type="gramStart"/>
      <w:r w:rsidRPr="00E57A75">
        <w:rPr>
          <w:szCs w:val="24"/>
          <w:lang w:val="en-US"/>
        </w:rPr>
        <w:t xml:space="preserve">was </w:t>
      </w:r>
      <w:r>
        <w:rPr>
          <w:szCs w:val="24"/>
          <w:lang w:val="en-US"/>
        </w:rPr>
        <w:t>added</w:t>
      </w:r>
      <w:proofErr w:type="gramEnd"/>
      <w:r>
        <w:rPr>
          <w:szCs w:val="24"/>
          <w:lang w:val="en-US"/>
        </w:rPr>
        <w:t xml:space="preserve"> dropwise and the mixture progressively became yellow.</w:t>
      </w:r>
      <w:r w:rsidRPr="00E57A7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Just b</w:t>
      </w:r>
      <w:r w:rsidRPr="00E57A75">
        <w:rPr>
          <w:szCs w:val="24"/>
          <w:lang w:val="en-US"/>
        </w:rPr>
        <w:t>efore equivalence</w:t>
      </w:r>
      <w:r>
        <w:rPr>
          <w:szCs w:val="24"/>
          <w:lang w:val="en-US"/>
        </w:rPr>
        <w:t>,</w:t>
      </w:r>
      <w:r w:rsidRPr="00E57A75">
        <w:rPr>
          <w:szCs w:val="24"/>
          <w:lang w:val="en-US"/>
        </w:rPr>
        <w:t xml:space="preserve"> a few drops</w:t>
      </w:r>
      <w:r w:rsidRPr="001950E0">
        <w:rPr>
          <w:szCs w:val="24"/>
          <w:lang w:val="en-US"/>
        </w:rPr>
        <w:t xml:space="preserve"> of a starch solution </w:t>
      </w:r>
      <w:proofErr w:type="gramStart"/>
      <w:r w:rsidRPr="001950E0">
        <w:rPr>
          <w:szCs w:val="24"/>
          <w:lang w:val="en-US"/>
        </w:rPr>
        <w:t>were added</w:t>
      </w:r>
      <w:proofErr w:type="gramEnd"/>
      <w:r>
        <w:rPr>
          <w:szCs w:val="24"/>
          <w:lang w:val="en-US"/>
        </w:rPr>
        <w:t xml:space="preserve"> to better identify equivalence and t</w:t>
      </w:r>
      <w:r w:rsidRPr="001950E0">
        <w:rPr>
          <w:szCs w:val="24"/>
          <w:lang w:val="en-US"/>
        </w:rPr>
        <w:t>he solution beca</w:t>
      </w:r>
      <w:r>
        <w:rPr>
          <w:szCs w:val="24"/>
          <w:lang w:val="en-US"/>
        </w:rPr>
        <w:t xml:space="preserve">me black. Titration ended when the solution suddenly became </w:t>
      </w:r>
      <w:r w:rsidRPr="001950E0">
        <w:rPr>
          <w:szCs w:val="24"/>
          <w:lang w:val="en-US"/>
        </w:rPr>
        <w:t>light pink</w:t>
      </w:r>
      <w:r>
        <w:rPr>
          <w:szCs w:val="24"/>
          <w:lang w:val="en-US"/>
        </w:rPr>
        <w:t xml:space="preserve"> and the active chlorine percentage </w:t>
      </w:r>
      <w:proofErr w:type="gramStart"/>
      <w:r>
        <w:rPr>
          <w:szCs w:val="24"/>
          <w:lang w:val="en-US"/>
        </w:rPr>
        <w:t>was calculated</w:t>
      </w:r>
      <w:proofErr w:type="gramEnd"/>
      <w:r>
        <w:rPr>
          <w:szCs w:val="24"/>
          <w:lang w:val="en-US"/>
        </w:rPr>
        <w:t xml:space="preserve"> from the following </w:t>
      </w:r>
      <w:r w:rsidRPr="006D7652">
        <w:rPr>
          <w:szCs w:val="24"/>
          <w:lang w:val="en-US"/>
        </w:rPr>
        <w:t>redox equations:</w:t>
      </w:r>
    </w:p>
    <w:p w14:paraId="5B526C2C" w14:textId="77777777" w:rsidR="00524F1A" w:rsidRDefault="00524F1A" w:rsidP="00524F1A">
      <w:pPr>
        <w:jc w:val="center"/>
        <w:rPr>
          <w:szCs w:val="24"/>
          <w:lang w:val="en-US"/>
        </w:rPr>
      </w:pPr>
    </w:p>
    <w:p w14:paraId="040CBA31" w14:textId="77777777" w:rsidR="00524F1A" w:rsidRPr="006D7652" w:rsidRDefault="00524F1A" w:rsidP="00524F1A">
      <w:pPr>
        <w:jc w:val="center"/>
        <w:rPr>
          <w:szCs w:val="24"/>
          <w:vertAlign w:val="subscript"/>
          <w:lang w:val="en-US"/>
        </w:rPr>
      </w:pPr>
      <w:proofErr w:type="spellStart"/>
      <w:r w:rsidRPr="006D7652">
        <w:rPr>
          <w:szCs w:val="24"/>
          <w:lang w:val="en-US"/>
        </w:rPr>
        <w:t>ClO</w:t>
      </w:r>
      <w:proofErr w:type="spellEnd"/>
      <w:proofErr w:type="gramStart"/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proofErr w:type="gramEnd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+ 2H</w:t>
      </w:r>
      <w:r w:rsidRPr="006D7652">
        <w:rPr>
          <w:szCs w:val="24"/>
          <w:vertAlign w:val="superscript"/>
          <w:lang w:val="en-US"/>
        </w:rPr>
        <w:t>+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+ 2e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lang w:val="en-US"/>
        </w:rPr>
        <w:t xml:space="preserve"> = Cl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H</w:t>
      </w:r>
      <w:r w:rsidRPr="00F84340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(l)</w:t>
      </w:r>
    </w:p>
    <w:p w14:paraId="774F93FB" w14:textId="77777777" w:rsidR="00524F1A" w:rsidRPr="006D7652" w:rsidRDefault="00524F1A" w:rsidP="00524F1A">
      <w:pPr>
        <w:jc w:val="center"/>
        <w:rPr>
          <w:szCs w:val="24"/>
          <w:vertAlign w:val="superscript"/>
          <w:lang w:val="en-US"/>
        </w:rPr>
      </w:pPr>
      <w:r w:rsidRPr="006D7652">
        <w:rPr>
          <w:szCs w:val="24"/>
          <w:lang w:val="en-US"/>
        </w:rPr>
        <w:t>2I</w:t>
      </w:r>
      <w:proofErr w:type="gramStart"/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proofErr w:type="gramEnd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 xml:space="preserve">) </w:t>
      </w:r>
      <w:r w:rsidRPr="006D7652">
        <w:rPr>
          <w:szCs w:val="24"/>
          <w:lang w:val="en-US"/>
        </w:rPr>
        <w:t>= I</w:t>
      </w:r>
      <w:r w:rsidRPr="006D7652">
        <w:rPr>
          <w:szCs w:val="24"/>
          <w:vertAlign w:val="subscript"/>
          <w:lang w:val="en-US"/>
        </w:rPr>
        <w:t>2(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+ 2e</w:t>
      </w:r>
      <w:r>
        <w:rPr>
          <w:rFonts w:cs="Times New Roman"/>
          <w:szCs w:val="24"/>
          <w:vertAlign w:val="superscript"/>
          <w:lang w:val="en-US"/>
        </w:rPr>
        <w:t>−</w:t>
      </w:r>
    </w:p>
    <w:p w14:paraId="42ED0E80" w14:textId="77777777" w:rsidR="00524F1A" w:rsidRDefault="002B6F48" w:rsidP="00524F1A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pict w14:anchorId="34703CC6">
          <v:rect id="_x0000_i1025" style="width:340.2pt;height:1.5pt;mso-position-vertical:absolute" o:hrpct="750" o:hralign="center" o:hrstd="t" o:hr="t" fillcolor="#a0a0a0" stroked="f"/>
        </w:pict>
      </w:r>
    </w:p>
    <w:p w14:paraId="1B522A55" w14:textId="77777777" w:rsidR="00524F1A" w:rsidRPr="006D7652" w:rsidRDefault="00524F1A" w:rsidP="00524F1A">
      <w:pPr>
        <w:jc w:val="center"/>
        <w:rPr>
          <w:szCs w:val="24"/>
          <w:vertAlign w:val="superscript"/>
          <w:lang w:val="en-US"/>
        </w:rPr>
      </w:pPr>
      <w:proofErr w:type="spellStart"/>
      <w:r w:rsidRPr="006D7652">
        <w:rPr>
          <w:szCs w:val="24"/>
          <w:lang w:val="en-US"/>
        </w:rPr>
        <w:t>ClO</w:t>
      </w:r>
      <w:proofErr w:type="spellEnd"/>
      <w:proofErr w:type="gramStart"/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proofErr w:type="gramEnd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+ 2H</w:t>
      </w:r>
      <w:r w:rsidRPr="006D7652">
        <w:rPr>
          <w:szCs w:val="24"/>
          <w:vertAlign w:val="superscript"/>
          <w:lang w:val="en-US"/>
        </w:rPr>
        <w:t>+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+ 2I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 xml:space="preserve">) </w:t>
      </w:r>
      <w:r w:rsidRPr="006D7652">
        <w:rPr>
          <w:szCs w:val="24"/>
          <w:lang w:val="en-US"/>
        </w:rPr>
        <w:t>= I</w:t>
      </w:r>
      <w:r w:rsidRPr="006D7652">
        <w:rPr>
          <w:szCs w:val="24"/>
          <w:vertAlign w:val="subscript"/>
          <w:lang w:val="en-US"/>
        </w:rPr>
        <w:t>2(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Cl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H</w:t>
      </w:r>
      <w:r w:rsidRPr="00F84340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 xml:space="preserve">(l)     </w:t>
      </w:r>
      <w:r w:rsidRPr="006D7652">
        <w:rPr>
          <w:szCs w:val="24"/>
          <w:lang w:val="en-US"/>
        </w:rPr>
        <w:t>(1)</w:t>
      </w:r>
    </w:p>
    <w:p w14:paraId="3A2EAC96" w14:textId="77777777" w:rsidR="00524F1A" w:rsidRPr="006D7652" w:rsidRDefault="00524F1A" w:rsidP="00524F1A">
      <w:pPr>
        <w:jc w:val="center"/>
        <w:rPr>
          <w:szCs w:val="24"/>
          <w:lang w:val="en-US"/>
        </w:rPr>
      </w:pPr>
    </w:p>
    <w:p w14:paraId="2B9FC8B1" w14:textId="77777777" w:rsidR="00524F1A" w:rsidRPr="006D7652" w:rsidRDefault="00524F1A" w:rsidP="00524F1A">
      <w:pPr>
        <w:jc w:val="center"/>
        <w:rPr>
          <w:szCs w:val="24"/>
          <w:lang w:val="en-US"/>
        </w:rPr>
      </w:pPr>
      <w:proofErr w:type="gramStart"/>
      <w:r w:rsidRPr="006D7652">
        <w:rPr>
          <w:szCs w:val="24"/>
          <w:lang w:val="en-US"/>
        </w:rPr>
        <w:t>I</w:t>
      </w:r>
      <w:r w:rsidRPr="006D7652">
        <w:rPr>
          <w:szCs w:val="24"/>
          <w:vertAlign w:val="subscript"/>
          <w:lang w:val="en-US"/>
        </w:rPr>
        <w:t>2(</w:t>
      </w:r>
      <w:proofErr w:type="spellStart"/>
      <w:proofErr w:type="gramEnd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 + 2e</w:t>
      </w:r>
      <w:r w:rsidRPr="006D7652">
        <w:rPr>
          <w:szCs w:val="24"/>
          <w:vertAlign w:val="superscript"/>
          <w:lang w:val="en-US"/>
        </w:rPr>
        <w:t>-</w:t>
      </w:r>
      <w:r w:rsidRPr="006D7652">
        <w:rPr>
          <w:szCs w:val="24"/>
          <w:lang w:val="en-US"/>
        </w:rPr>
        <w:t xml:space="preserve"> = 2I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</w:p>
    <w:p w14:paraId="2BE2EBBE" w14:textId="77777777" w:rsidR="00524F1A" w:rsidRPr="006D7652" w:rsidRDefault="00524F1A" w:rsidP="00524F1A">
      <w:pPr>
        <w:jc w:val="center"/>
        <w:rPr>
          <w:szCs w:val="24"/>
          <w:lang w:val="en-US"/>
        </w:rPr>
      </w:pPr>
      <w:r w:rsidRPr="006D7652">
        <w:rPr>
          <w:szCs w:val="24"/>
          <w:lang w:val="en-US"/>
        </w:rPr>
        <w:t>2S</w:t>
      </w:r>
      <w:r w:rsidRPr="006D7652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3</w:t>
      </w:r>
      <w:r w:rsidRPr="006D7652">
        <w:rPr>
          <w:szCs w:val="24"/>
          <w:vertAlign w:val="superscript"/>
          <w:lang w:val="en-US"/>
        </w:rPr>
        <w:t>2</w:t>
      </w:r>
      <w:proofErr w:type="gramStart"/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proofErr w:type="gramEnd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>
        <w:rPr>
          <w:szCs w:val="24"/>
          <w:vertAlign w:val="subscript"/>
          <w:lang w:val="en-US"/>
        </w:rPr>
        <w:t xml:space="preserve"> </w:t>
      </w:r>
      <w:r w:rsidRPr="00BF7B2F">
        <w:rPr>
          <w:szCs w:val="24"/>
          <w:lang w:val="en-US"/>
        </w:rPr>
        <w:t xml:space="preserve">= </w:t>
      </w:r>
      <w:r w:rsidRPr="006D7652">
        <w:rPr>
          <w:szCs w:val="24"/>
          <w:lang w:val="en-US"/>
        </w:rPr>
        <w:t>S</w:t>
      </w:r>
      <w:r w:rsidRPr="006D7652">
        <w:rPr>
          <w:szCs w:val="24"/>
          <w:vertAlign w:val="subscript"/>
          <w:lang w:val="en-US"/>
        </w:rPr>
        <w:t>4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6</w:t>
      </w:r>
      <w:r w:rsidRPr="006D7652">
        <w:rPr>
          <w:szCs w:val="24"/>
          <w:vertAlign w:val="superscript"/>
          <w:lang w:val="en-US"/>
        </w:rPr>
        <w:t>2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>)</w:t>
      </w:r>
      <w:r w:rsidRPr="006D7652">
        <w:rPr>
          <w:szCs w:val="24"/>
          <w:lang w:val="en-US"/>
        </w:rPr>
        <w:t xml:space="preserve"> + 2e</w:t>
      </w:r>
      <w:r>
        <w:rPr>
          <w:rFonts w:cs="Times New Roman"/>
          <w:szCs w:val="24"/>
          <w:vertAlign w:val="superscript"/>
          <w:lang w:val="en-US"/>
        </w:rPr>
        <w:t>−</w:t>
      </w:r>
      <w:r w:rsidRPr="006D7652">
        <w:rPr>
          <w:szCs w:val="24"/>
          <w:lang w:val="en-US"/>
        </w:rPr>
        <w:t xml:space="preserve"> </w:t>
      </w:r>
    </w:p>
    <w:p w14:paraId="3B7AAFC4" w14:textId="77777777" w:rsidR="00524F1A" w:rsidRPr="006D7652" w:rsidRDefault="002B6F48" w:rsidP="00524F1A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pict w14:anchorId="50D858F6">
          <v:rect id="_x0000_i1026" style="width:340.2pt;height:1.5pt;mso-position-vertical:absolute" o:hrpct="750" o:hralign="center" o:hrstd="t" o:hr="t" fillcolor="#a0a0a0" stroked="f"/>
        </w:pict>
      </w:r>
      <w:proofErr w:type="gramStart"/>
      <w:r w:rsidR="00524F1A" w:rsidRPr="006D7652">
        <w:rPr>
          <w:szCs w:val="24"/>
          <w:lang w:val="en-US"/>
        </w:rPr>
        <w:t>I</w:t>
      </w:r>
      <w:r w:rsidR="00524F1A" w:rsidRPr="006D7652">
        <w:rPr>
          <w:szCs w:val="24"/>
          <w:vertAlign w:val="subscript"/>
          <w:lang w:val="en-US"/>
        </w:rPr>
        <w:t>2(</w:t>
      </w:r>
      <w:proofErr w:type="spellStart"/>
      <w:proofErr w:type="gramEnd"/>
      <w:r w:rsidR="00524F1A" w:rsidRPr="006D7652">
        <w:rPr>
          <w:szCs w:val="24"/>
          <w:vertAlign w:val="subscript"/>
          <w:lang w:val="en-US"/>
        </w:rPr>
        <w:t>aq</w:t>
      </w:r>
      <w:proofErr w:type="spellEnd"/>
      <w:r w:rsidR="00524F1A" w:rsidRPr="006D7652">
        <w:rPr>
          <w:szCs w:val="24"/>
          <w:vertAlign w:val="subscript"/>
          <w:lang w:val="en-US"/>
        </w:rPr>
        <w:t>)</w:t>
      </w:r>
      <w:r w:rsidR="00524F1A" w:rsidRPr="006D7652">
        <w:rPr>
          <w:szCs w:val="24"/>
          <w:lang w:val="en-US"/>
        </w:rPr>
        <w:t xml:space="preserve"> + 2S</w:t>
      </w:r>
      <w:r w:rsidR="00524F1A" w:rsidRPr="006D7652">
        <w:rPr>
          <w:szCs w:val="24"/>
          <w:vertAlign w:val="subscript"/>
          <w:lang w:val="en-US"/>
        </w:rPr>
        <w:t>2</w:t>
      </w:r>
      <w:r w:rsidR="00524F1A" w:rsidRPr="006D7652">
        <w:rPr>
          <w:szCs w:val="24"/>
          <w:lang w:val="en-US"/>
        </w:rPr>
        <w:t>O</w:t>
      </w:r>
      <w:r w:rsidR="00524F1A" w:rsidRPr="006D7652">
        <w:rPr>
          <w:szCs w:val="24"/>
          <w:vertAlign w:val="subscript"/>
          <w:lang w:val="en-US"/>
        </w:rPr>
        <w:t>3</w:t>
      </w:r>
      <w:r w:rsidR="00524F1A" w:rsidRPr="006D7652">
        <w:rPr>
          <w:szCs w:val="24"/>
          <w:vertAlign w:val="superscript"/>
          <w:lang w:val="en-US"/>
        </w:rPr>
        <w:t>2</w:t>
      </w:r>
      <w:r w:rsidR="00524F1A">
        <w:rPr>
          <w:rFonts w:cs="Times New Roman"/>
          <w:szCs w:val="24"/>
          <w:vertAlign w:val="superscript"/>
          <w:lang w:val="en-US"/>
        </w:rPr>
        <w:t>−</w:t>
      </w:r>
      <w:r w:rsidR="00524F1A" w:rsidRPr="006D7652">
        <w:rPr>
          <w:szCs w:val="24"/>
          <w:vertAlign w:val="subscript"/>
          <w:lang w:val="en-US"/>
        </w:rPr>
        <w:t>(</w:t>
      </w:r>
      <w:proofErr w:type="spellStart"/>
      <w:r w:rsidR="00524F1A" w:rsidRPr="006D7652">
        <w:rPr>
          <w:szCs w:val="24"/>
          <w:vertAlign w:val="subscript"/>
          <w:lang w:val="en-US"/>
        </w:rPr>
        <w:t>aq</w:t>
      </w:r>
      <w:proofErr w:type="spellEnd"/>
      <w:r w:rsidR="00524F1A" w:rsidRPr="006D7652">
        <w:rPr>
          <w:szCs w:val="24"/>
          <w:vertAlign w:val="subscript"/>
          <w:lang w:val="en-US"/>
        </w:rPr>
        <w:t>)</w:t>
      </w:r>
      <w:r w:rsidR="00524F1A" w:rsidRPr="006D7652">
        <w:rPr>
          <w:szCs w:val="24"/>
          <w:lang w:val="en-US"/>
        </w:rPr>
        <w:t xml:space="preserve"> = 2I</w:t>
      </w:r>
      <w:r w:rsidR="00524F1A">
        <w:rPr>
          <w:rFonts w:cs="Times New Roman"/>
          <w:szCs w:val="24"/>
          <w:vertAlign w:val="superscript"/>
          <w:lang w:val="en-US"/>
        </w:rPr>
        <w:t>−</w:t>
      </w:r>
      <w:r w:rsidR="00524F1A" w:rsidRPr="006D7652">
        <w:rPr>
          <w:szCs w:val="24"/>
          <w:vertAlign w:val="subscript"/>
          <w:lang w:val="en-US"/>
        </w:rPr>
        <w:t>(</w:t>
      </w:r>
      <w:proofErr w:type="spellStart"/>
      <w:r w:rsidR="00524F1A" w:rsidRPr="006D7652">
        <w:rPr>
          <w:szCs w:val="24"/>
          <w:vertAlign w:val="subscript"/>
          <w:lang w:val="en-US"/>
        </w:rPr>
        <w:t>aq</w:t>
      </w:r>
      <w:proofErr w:type="spellEnd"/>
      <w:r w:rsidR="00524F1A" w:rsidRPr="006D7652">
        <w:rPr>
          <w:szCs w:val="24"/>
          <w:vertAlign w:val="subscript"/>
          <w:lang w:val="en-US"/>
        </w:rPr>
        <w:t>)</w:t>
      </w:r>
      <w:r w:rsidR="00524F1A" w:rsidRPr="006D7652">
        <w:rPr>
          <w:szCs w:val="24"/>
          <w:lang w:val="en-US"/>
        </w:rPr>
        <w:t xml:space="preserve"> + S</w:t>
      </w:r>
      <w:r w:rsidR="00524F1A" w:rsidRPr="006D7652">
        <w:rPr>
          <w:szCs w:val="24"/>
          <w:vertAlign w:val="subscript"/>
          <w:lang w:val="en-US"/>
        </w:rPr>
        <w:t>4</w:t>
      </w:r>
      <w:r w:rsidR="00524F1A" w:rsidRPr="006D7652">
        <w:rPr>
          <w:szCs w:val="24"/>
          <w:lang w:val="en-US"/>
        </w:rPr>
        <w:t>O</w:t>
      </w:r>
      <w:r w:rsidR="00524F1A" w:rsidRPr="006D7652">
        <w:rPr>
          <w:szCs w:val="24"/>
          <w:vertAlign w:val="subscript"/>
          <w:lang w:val="en-US"/>
        </w:rPr>
        <w:t>6</w:t>
      </w:r>
      <w:r w:rsidR="00524F1A" w:rsidRPr="006D7652">
        <w:rPr>
          <w:szCs w:val="24"/>
          <w:vertAlign w:val="superscript"/>
          <w:lang w:val="en-US"/>
        </w:rPr>
        <w:t>2</w:t>
      </w:r>
      <w:r w:rsidR="00524F1A">
        <w:rPr>
          <w:rFonts w:cs="Times New Roman"/>
          <w:szCs w:val="24"/>
          <w:vertAlign w:val="superscript"/>
          <w:lang w:val="en-US"/>
        </w:rPr>
        <w:t>−</w:t>
      </w:r>
      <w:r w:rsidR="00524F1A" w:rsidRPr="006D7652">
        <w:rPr>
          <w:szCs w:val="24"/>
          <w:vertAlign w:val="subscript"/>
          <w:lang w:val="en-US"/>
        </w:rPr>
        <w:t>(</w:t>
      </w:r>
      <w:proofErr w:type="spellStart"/>
      <w:r w:rsidR="00524F1A" w:rsidRPr="006D7652">
        <w:rPr>
          <w:szCs w:val="24"/>
          <w:vertAlign w:val="subscript"/>
          <w:lang w:val="en-US"/>
        </w:rPr>
        <w:t>aq</w:t>
      </w:r>
      <w:proofErr w:type="spellEnd"/>
      <w:r w:rsidR="00524F1A" w:rsidRPr="006D7652">
        <w:rPr>
          <w:szCs w:val="24"/>
          <w:vertAlign w:val="subscript"/>
          <w:lang w:val="en-US"/>
        </w:rPr>
        <w:t>)</w:t>
      </w:r>
      <w:r w:rsidR="00524F1A" w:rsidRPr="006D7652">
        <w:rPr>
          <w:szCs w:val="24"/>
          <w:lang w:val="en-US"/>
        </w:rPr>
        <w:t xml:space="preserve">        (2)</w:t>
      </w:r>
    </w:p>
    <w:p w14:paraId="6CB5C093" w14:textId="77777777" w:rsidR="00524F1A" w:rsidRDefault="00524F1A" w:rsidP="00524F1A">
      <w:pPr>
        <w:rPr>
          <w:szCs w:val="24"/>
          <w:lang w:val="en-US"/>
        </w:rPr>
      </w:pPr>
    </w:p>
    <w:p w14:paraId="13A9C775" w14:textId="77777777" w:rsidR="00524F1A" w:rsidRDefault="00524F1A" w:rsidP="00524F1A">
      <w:pPr>
        <w:rPr>
          <w:szCs w:val="24"/>
          <w:lang w:val="en-US"/>
        </w:rPr>
      </w:pPr>
      <w:r>
        <w:rPr>
          <w:szCs w:val="24"/>
          <w:lang w:val="en-US"/>
        </w:rPr>
        <w:t>The</w:t>
      </w:r>
      <w:r w:rsidRPr="00BF7B2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active chlorine percentage (ACP) </w:t>
      </w:r>
      <w:proofErr w:type="gramStart"/>
      <w:r>
        <w:rPr>
          <w:szCs w:val="24"/>
          <w:lang w:val="en-US"/>
        </w:rPr>
        <w:t>was calculated</w:t>
      </w:r>
      <w:proofErr w:type="gramEnd"/>
      <w:r>
        <w:rPr>
          <w:szCs w:val="24"/>
          <w:lang w:val="en-US"/>
        </w:rPr>
        <w:t xml:space="preserve"> as follows:</w:t>
      </w:r>
    </w:p>
    <w:p w14:paraId="73559750" w14:textId="77777777" w:rsidR="00524F1A" w:rsidRDefault="00524F1A" w:rsidP="00524F1A">
      <w:pPr>
        <w:rPr>
          <w:szCs w:val="24"/>
          <w:lang w:val="en-US"/>
        </w:rPr>
      </w:pPr>
    </w:p>
    <w:p w14:paraId="359AC0AA" w14:textId="77777777" w:rsidR="00524F1A" w:rsidRPr="006D7652" w:rsidRDefault="00524F1A" w:rsidP="00524F1A">
      <w:pPr>
        <w:jc w:val="center"/>
        <w:rPr>
          <w:szCs w:val="24"/>
          <w:lang w:val="en-US"/>
        </w:rPr>
      </w:pPr>
      <w:proofErr w:type="gramStart"/>
      <w:r w:rsidRPr="006D7652">
        <w:rPr>
          <w:szCs w:val="24"/>
          <w:lang w:val="en-US"/>
        </w:rPr>
        <w:t>n(</w:t>
      </w:r>
      <w:proofErr w:type="spellStart"/>
      <w:proofErr w:type="gramEnd"/>
      <w:r w:rsidRPr="006D7652">
        <w:rPr>
          <w:szCs w:val="24"/>
          <w:lang w:val="en-US"/>
        </w:rPr>
        <w:t>ClO</w:t>
      </w:r>
      <w:proofErr w:type="spellEnd"/>
      <w:r>
        <w:rPr>
          <w:szCs w:val="24"/>
          <w:vertAlign w:val="superscript"/>
          <w:lang w:val="en-US"/>
        </w:rPr>
        <w:t>−</w:t>
      </w:r>
      <w:r w:rsidRPr="006D7652">
        <w:rPr>
          <w:szCs w:val="24"/>
          <w:lang w:val="en-US"/>
        </w:rPr>
        <w:t>)</w:t>
      </w:r>
      <w:r w:rsidRPr="006D7652">
        <w:rPr>
          <w:szCs w:val="24"/>
          <w:vertAlign w:val="subscript"/>
          <w:lang w:val="en-US"/>
        </w:rPr>
        <w:t>consumed</w:t>
      </w:r>
      <w:r w:rsidRPr="006D7652">
        <w:rPr>
          <w:szCs w:val="24"/>
          <w:lang w:val="en-US"/>
        </w:rPr>
        <w:t xml:space="preserve"> = n(I</w:t>
      </w:r>
      <w:r w:rsidRPr="006D7652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)</w:t>
      </w:r>
      <w:proofErr w:type="spellStart"/>
      <w:r w:rsidRPr="006D7652">
        <w:rPr>
          <w:szCs w:val="24"/>
          <w:vertAlign w:val="subscript"/>
          <w:lang w:val="en-US"/>
        </w:rPr>
        <w:t>producted</w:t>
      </w:r>
      <w:proofErr w:type="spellEnd"/>
      <w:r w:rsidRPr="006D7652">
        <w:rPr>
          <w:szCs w:val="24"/>
          <w:lang w:val="en-US"/>
        </w:rPr>
        <w:t xml:space="preserve"> = n(S</w:t>
      </w:r>
      <w:r w:rsidRPr="006D7652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3</w:t>
      </w:r>
      <w:r w:rsidRPr="006D7652">
        <w:rPr>
          <w:szCs w:val="24"/>
          <w:vertAlign w:val="superscript"/>
          <w:lang w:val="en-US"/>
        </w:rPr>
        <w:t>2</w:t>
      </w:r>
      <w:r>
        <w:rPr>
          <w:szCs w:val="24"/>
          <w:vertAlign w:val="superscript"/>
          <w:lang w:val="en-US"/>
        </w:rPr>
        <w:t>−</w:t>
      </w:r>
      <w:r w:rsidRPr="006D7652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>/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>2</w:t>
      </w:r>
    </w:p>
    <w:p w14:paraId="0CDE031E" w14:textId="77777777" w:rsidR="00524F1A" w:rsidRPr="006D7652" w:rsidRDefault="00524F1A" w:rsidP="00524F1A">
      <w:pPr>
        <w:jc w:val="center"/>
        <w:rPr>
          <w:szCs w:val="24"/>
          <w:lang w:val="en-US"/>
        </w:rPr>
      </w:pPr>
      <w:r w:rsidRPr="006D7652">
        <w:rPr>
          <w:szCs w:val="24"/>
          <w:lang w:val="en-US"/>
        </w:rPr>
        <w:t>[</w:t>
      </w:r>
      <w:proofErr w:type="spellStart"/>
      <w:r w:rsidRPr="006D7652">
        <w:rPr>
          <w:szCs w:val="24"/>
          <w:lang w:val="en-US"/>
        </w:rPr>
        <w:t>ClO</w:t>
      </w:r>
      <w:proofErr w:type="spellEnd"/>
      <w:r>
        <w:rPr>
          <w:szCs w:val="24"/>
          <w:vertAlign w:val="superscript"/>
          <w:lang w:val="en-US"/>
        </w:rPr>
        <w:t>−</w:t>
      </w:r>
      <w:r>
        <w:rPr>
          <w:szCs w:val="24"/>
          <w:lang w:val="en-US"/>
        </w:rPr>
        <w:t xml:space="preserve">] </w:t>
      </w:r>
      <w:r>
        <w:rPr>
          <w:rFonts w:cs="Times New Roman"/>
          <w:szCs w:val="24"/>
          <w:lang w:val="en-US"/>
        </w:rPr>
        <w:t xml:space="preserve">× </w:t>
      </w:r>
      <w:proofErr w:type="gramStart"/>
      <w:r w:rsidRPr="006D7652">
        <w:rPr>
          <w:szCs w:val="24"/>
          <w:lang w:val="en-US"/>
        </w:rPr>
        <w:t>V(</w:t>
      </w:r>
      <w:proofErr w:type="gramEnd"/>
      <w:r w:rsidRPr="006D7652">
        <w:rPr>
          <w:szCs w:val="24"/>
          <w:lang w:val="en-US"/>
        </w:rPr>
        <w:t>gel solution) = ([S</w:t>
      </w:r>
      <w:r w:rsidRPr="006D7652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3</w:t>
      </w:r>
      <w:r w:rsidRPr="006D7652">
        <w:rPr>
          <w:szCs w:val="24"/>
          <w:vertAlign w:val="superscript"/>
          <w:lang w:val="en-US"/>
        </w:rPr>
        <w:t>2</w:t>
      </w:r>
      <w:r>
        <w:rPr>
          <w:szCs w:val="24"/>
          <w:vertAlign w:val="superscript"/>
          <w:lang w:val="en-US"/>
        </w:rPr>
        <w:t>−</w:t>
      </w:r>
      <w:r>
        <w:rPr>
          <w:szCs w:val="24"/>
          <w:lang w:val="en-US"/>
        </w:rPr>
        <w:t xml:space="preserve">] </w:t>
      </w:r>
      <w:r>
        <w:rPr>
          <w:rFonts w:cs="Times New Roman"/>
          <w:szCs w:val="24"/>
          <w:lang w:val="en-US"/>
        </w:rPr>
        <w:t>×</w:t>
      </w:r>
      <w:r>
        <w:rPr>
          <w:szCs w:val="24"/>
          <w:lang w:val="en-US"/>
        </w:rPr>
        <w:t xml:space="preserve"> </w:t>
      </w:r>
      <w:proofErr w:type="spellStart"/>
      <w:r w:rsidRPr="006D7652">
        <w:rPr>
          <w:szCs w:val="24"/>
          <w:lang w:val="en-US"/>
        </w:rPr>
        <w:t>Veq</w:t>
      </w:r>
      <w:proofErr w:type="spellEnd"/>
      <w:r w:rsidRPr="006D7652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>/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>2</w:t>
      </w:r>
      <w:r>
        <w:rPr>
          <w:szCs w:val="24"/>
          <w:lang w:val="en-US"/>
        </w:rPr>
        <w:t xml:space="preserve"> </w:t>
      </w:r>
    </w:p>
    <w:p w14:paraId="3C2A42B5" w14:textId="77777777" w:rsidR="00524F1A" w:rsidRDefault="00524F1A" w:rsidP="00524F1A">
      <w:pPr>
        <w:jc w:val="center"/>
        <w:rPr>
          <w:szCs w:val="24"/>
          <w:lang w:val="en-US"/>
        </w:rPr>
      </w:pPr>
      <w:r w:rsidRPr="006D7652">
        <w:rPr>
          <w:szCs w:val="24"/>
          <w:lang w:val="en-US"/>
        </w:rPr>
        <w:t>[</w:t>
      </w:r>
      <w:proofErr w:type="spellStart"/>
      <w:r w:rsidRPr="006D7652">
        <w:rPr>
          <w:szCs w:val="24"/>
          <w:lang w:val="en-US"/>
        </w:rPr>
        <w:t>ClO</w:t>
      </w:r>
      <w:proofErr w:type="spellEnd"/>
      <w:r>
        <w:rPr>
          <w:szCs w:val="24"/>
          <w:vertAlign w:val="superscript"/>
          <w:lang w:val="en-US"/>
        </w:rPr>
        <w:t>−</w:t>
      </w:r>
      <w:r>
        <w:rPr>
          <w:szCs w:val="24"/>
          <w:lang w:val="en-US"/>
        </w:rPr>
        <w:t xml:space="preserve">] = 10 </w:t>
      </w:r>
      <w:r>
        <w:rPr>
          <w:rFonts w:cs="Times New Roman"/>
          <w:szCs w:val="24"/>
          <w:lang w:val="en-US"/>
        </w:rPr>
        <w:t xml:space="preserve">× </w:t>
      </w:r>
      <w:r>
        <w:rPr>
          <w:szCs w:val="24"/>
          <w:lang w:val="en-US"/>
        </w:rPr>
        <w:t>(</w:t>
      </w:r>
      <w:r w:rsidRPr="006D7652">
        <w:rPr>
          <w:szCs w:val="24"/>
          <w:lang w:val="en-US"/>
        </w:rPr>
        <w:t>[S</w:t>
      </w:r>
      <w:r w:rsidRPr="006D7652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3</w:t>
      </w:r>
      <w:r w:rsidRPr="006D7652">
        <w:rPr>
          <w:szCs w:val="24"/>
          <w:vertAlign w:val="superscript"/>
          <w:lang w:val="en-US"/>
        </w:rPr>
        <w:t>2</w:t>
      </w:r>
      <w:r>
        <w:rPr>
          <w:szCs w:val="24"/>
          <w:vertAlign w:val="superscript"/>
          <w:lang w:val="en-US"/>
        </w:rPr>
        <w:t>−</w:t>
      </w:r>
      <w:r>
        <w:rPr>
          <w:szCs w:val="24"/>
          <w:lang w:val="en-US"/>
        </w:rPr>
        <w:t xml:space="preserve">] </w:t>
      </w:r>
      <w:r>
        <w:rPr>
          <w:rFonts w:cs="Times New Roman"/>
          <w:szCs w:val="24"/>
          <w:lang w:val="en-US"/>
        </w:rPr>
        <w:t xml:space="preserve">× </w:t>
      </w:r>
      <w:proofErr w:type="spellStart"/>
      <w:r w:rsidRPr="006D7652">
        <w:rPr>
          <w:szCs w:val="24"/>
          <w:lang w:val="en-US"/>
        </w:rPr>
        <w:t>Veq</w:t>
      </w:r>
      <w:proofErr w:type="spellEnd"/>
      <w:r w:rsidRPr="006D7652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>/</w:t>
      </w:r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2</w:t>
      </w:r>
      <w:r w:rsidRPr="006D7652">
        <w:rPr>
          <w:szCs w:val="24"/>
          <w:lang w:val="en-US"/>
        </w:rPr>
        <w:t>V(</w:t>
      </w:r>
      <w:proofErr w:type="gramEnd"/>
      <w:r w:rsidRPr="006D7652">
        <w:rPr>
          <w:szCs w:val="24"/>
          <w:lang w:val="en-US"/>
        </w:rPr>
        <w:t>gel solution)</w:t>
      </w:r>
    </w:p>
    <w:p w14:paraId="3C4DE50F" w14:textId="77777777" w:rsidR="00524F1A" w:rsidRDefault="00524F1A" w:rsidP="00524F1A">
      <w:pPr>
        <w:jc w:val="center"/>
        <w:rPr>
          <w:szCs w:val="24"/>
          <w:lang w:val="en-US"/>
        </w:rPr>
      </w:pPr>
    </w:p>
    <w:p w14:paraId="135938FC" w14:textId="77777777" w:rsidR="00524F1A" w:rsidRDefault="00524F1A" w:rsidP="00524F1A">
      <w:pPr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with </w:t>
      </w:r>
      <w:r w:rsidRPr="006D7652">
        <w:rPr>
          <w:szCs w:val="24"/>
          <w:lang w:val="en-US"/>
        </w:rPr>
        <w:t>V(gel solution)</w:t>
      </w:r>
      <w:r>
        <w:rPr>
          <w:szCs w:val="24"/>
          <w:lang w:val="en-US"/>
        </w:rPr>
        <w:t xml:space="preserve"> the equivalent volume of 1 g of CBR gel and the factor of 10 accounting for the dilution of 1 g of gel in 10 mL of water. The</w:t>
      </w:r>
      <w:r w:rsidRPr="007A49C0"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>active chlorine percentage</w:t>
      </w:r>
      <w:r>
        <w:rPr>
          <w:szCs w:val="24"/>
          <w:lang w:val="en-US"/>
        </w:rPr>
        <w:t xml:space="preserve"> (wt. %) in the CBR gel </w:t>
      </w:r>
      <w:proofErr w:type="gramStart"/>
      <w:r>
        <w:rPr>
          <w:szCs w:val="24"/>
          <w:lang w:val="en-US"/>
        </w:rPr>
        <w:t>is finally obtained</w:t>
      </w:r>
      <w:proofErr w:type="gramEnd"/>
      <w:r>
        <w:rPr>
          <w:szCs w:val="24"/>
          <w:lang w:val="en-US"/>
        </w:rPr>
        <w:t xml:space="preserve"> as follows. The ions in the aqueous solution satisfy:</w:t>
      </w:r>
    </w:p>
    <w:p w14:paraId="60EBC86D" w14:textId="77777777" w:rsidR="00524F1A" w:rsidRPr="006D7652" w:rsidRDefault="00524F1A" w:rsidP="00524F1A">
      <w:pPr>
        <w:jc w:val="left"/>
        <w:rPr>
          <w:szCs w:val="24"/>
          <w:lang w:val="en-US"/>
        </w:rPr>
      </w:pPr>
    </w:p>
    <w:p w14:paraId="5074F63B" w14:textId="77777777" w:rsidR="00524F1A" w:rsidRDefault="00524F1A" w:rsidP="00524F1A">
      <w:pPr>
        <w:jc w:val="center"/>
        <w:rPr>
          <w:szCs w:val="24"/>
          <w:lang w:val="en-US"/>
        </w:rPr>
      </w:pPr>
      <w:proofErr w:type="gramStart"/>
      <w:r w:rsidRPr="006D7652">
        <w:rPr>
          <w:szCs w:val="24"/>
          <w:lang w:val="en-US"/>
        </w:rPr>
        <w:t>Cl</w:t>
      </w:r>
      <w:r w:rsidRPr="006D7652">
        <w:rPr>
          <w:szCs w:val="24"/>
          <w:vertAlign w:val="subscript"/>
          <w:lang w:val="en-US"/>
        </w:rPr>
        <w:t>2(</w:t>
      </w:r>
      <w:proofErr w:type="spellStart"/>
      <w:proofErr w:type="gramEnd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 xml:space="preserve">) </w:t>
      </w:r>
      <w:r w:rsidRPr="006D7652">
        <w:rPr>
          <w:szCs w:val="24"/>
          <w:lang w:val="en-US"/>
        </w:rPr>
        <w:t>+ 2HO</w:t>
      </w:r>
      <w:r>
        <w:rPr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 xml:space="preserve">) </w:t>
      </w:r>
      <w:r w:rsidRPr="006D7652">
        <w:rPr>
          <w:szCs w:val="24"/>
          <w:lang w:val="en-US"/>
        </w:rPr>
        <w:t xml:space="preserve">= </w:t>
      </w:r>
      <w:proofErr w:type="spellStart"/>
      <w:r w:rsidRPr="006D7652">
        <w:rPr>
          <w:szCs w:val="24"/>
          <w:lang w:val="en-US"/>
        </w:rPr>
        <w:t>ClO</w:t>
      </w:r>
      <w:proofErr w:type="spellEnd"/>
      <w:r>
        <w:rPr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 xml:space="preserve">) </w:t>
      </w:r>
      <w:r w:rsidRPr="006D7652">
        <w:rPr>
          <w:szCs w:val="24"/>
          <w:lang w:val="en-US"/>
        </w:rPr>
        <w:t>+ Cl</w:t>
      </w:r>
      <w:r>
        <w:rPr>
          <w:szCs w:val="24"/>
          <w:vertAlign w:val="superscript"/>
          <w:lang w:val="en-US"/>
        </w:rPr>
        <w:t>−</w:t>
      </w:r>
      <w:r w:rsidRPr="006D7652">
        <w:rPr>
          <w:szCs w:val="24"/>
          <w:vertAlign w:val="subscript"/>
          <w:lang w:val="en-US"/>
        </w:rPr>
        <w:t>(</w:t>
      </w:r>
      <w:proofErr w:type="spellStart"/>
      <w:r w:rsidRPr="006D7652">
        <w:rPr>
          <w:szCs w:val="24"/>
          <w:vertAlign w:val="subscript"/>
          <w:lang w:val="en-US"/>
        </w:rPr>
        <w:t>aq</w:t>
      </w:r>
      <w:proofErr w:type="spellEnd"/>
      <w:r w:rsidRPr="006D7652">
        <w:rPr>
          <w:szCs w:val="24"/>
          <w:vertAlign w:val="subscript"/>
          <w:lang w:val="en-US"/>
        </w:rPr>
        <w:t xml:space="preserve">) </w:t>
      </w:r>
      <w:r w:rsidRPr="006D7652">
        <w:rPr>
          <w:szCs w:val="24"/>
          <w:lang w:val="en-US"/>
        </w:rPr>
        <w:t>+ H</w:t>
      </w:r>
      <w:r w:rsidRPr="00F84340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O</w:t>
      </w:r>
      <w:r w:rsidRPr="006D7652">
        <w:rPr>
          <w:szCs w:val="24"/>
          <w:vertAlign w:val="subscript"/>
          <w:lang w:val="en-US"/>
        </w:rPr>
        <w:t>(l)</w:t>
      </w:r>
      <w:r w:rsidRPr="006D7652">
        <w:rPr>
          <w:szCs w:val="24"/>
          <w:lang w:val="en-US"/>
        </w:rPr>
        <w:t xml:space="preserve">  (3)</w:t>
      </w:r>
    </w:p>
    <w:p w14:paraId="32172035" w14:textId="77777777" w:rsidR="00524F1A" w:rsidRPr="006D7652" w:rsidRDefault="00524F1A" w:rsidP="00524F1A">
      <w:pPr>
        <w:jc w:val="center"/>
        <w:rPr>
          <w:szCs w:val="24"/>
          <w:lang w:val="en-US"/>
        </w:rPr>
      </w:pPr>
    </w:p>
    <w:p w14:paraId="3C3B64E0" w14:textId="77777777" w:rsidR="00524F1A" w:rsidRDefault="00524F1A" w:rsidP="00524F1A">
      <w:pPr>
        <w:rPr>
          <w:szCs w:val="24"/>
        </w:rPr>
      </w:pPr>
      <w:r>
        <w:rPr>
          <w:szCs w:val="24"/>
          <w:lang w:val="en-US"/>
        </w:rPr>
        <w:t xml:space="preserve">Since </w:t>
      </w:r>
      <w:proofErr w:type="gramStart"/>
      <w:r>
        <w:rPr>
          <w:szCs w:val="24"/>
          <w:lang w:val="en-US"/>
        </w:rPr>
        <w:t>n</w:t>
      </w:r>
      <w:r w:rsidRPr="006D7652">
        <w:rPr>
          <w:szCs w:val="24"/>
          <w:lang w:val="en-US"/>
        </w:rPr>
        <w:t>(</w:t>
      </w:r>
      <w:proofErr w:type="gramEnd"/>
      <w:r w:rsidRPr="006D7652">
        <w:rPr>
          <w:szCs w:val="24"/>
          <w:lang w:val="en-US"/>
        </w:rPr>
        <w:t>Cl</w:t>
      </w:r>
      <w:r w:rsidRPr="006D7652">
        <w:rPr>
          <w:szCs w:val="24"/>
          <w:vertAlign w:val="subscript"/>
          <w:lang w:val="en-US"/>
        </w:rPr>
        <w:t>2</w:t>
      </w:r>
      <w:r w:rsidRPr="006D7652">
        <w:rPr>
          <w:szCs w:val="24"/>
          <w:lang w:val="en-US"/>
        </w:rPr>
        <w:t>)</w:t>
      </w:r>
      <w:r w:rsidRPr="006D7652">
        <w:rPr>
          <w:szCs w:val="24"/>
          <w:vertAlign w:val="subscript"/>
          <w:lang w:val="en-US"/>
        </w:rPr>
        <w:t>consumed</w:t>
      </w:r>
      <w:r w:rsidRPr="006D7652">
        <w:rPr>
          <w:szCs w:val="24"/>
          <w:lang w:val="en-US"/>
        </w:rPr>
        <w:t xml:space="preserve"> = n(</w:t>
      </w:r>
      <w:proofErr w:type="spellStart"/>
      <w:r w:rsidRPr="006D7652">
        <w:rPr>
          <w:szCs w:val="24"/>
          <w:lang w:val="en-US"/>
        </w:rPr>
        <w:t>ClO</w:t>
      </w:r>
      <w:proofErr w:type="spellEnd"/>
      <w:r>
        <w:rPr>
          <w:szCs w:val="24"/>
          <w:vertAlign w:val="superscript"/>
          <w:lang w:val="en-US"/>
        </w:rPr>
        <w:t>−</w:t>
      </w:r>
      <w:r w:rsidRPr="006D7652">
        <w:rPr>
          <w:szCs w:val="24"/>
          <w:lang w:val="en-US"/>
        </w:rPr>
        <w:t>)</w:t>
      </w:r>
      <w:r w:rsidRPr="006D7652">
        <w:rPr>
          <w:szCs w:val="24"/>
          <w:vertAlign w:val="subscript"/>
          <w:lang w:val="en-US"/>
        </w:rPr>
        <w:t>produced</w:t>
      </w:r>
      <w:r w:rsidRPr="006D7652">
        <w:rPr>
          <w:szCs w:val="24"/>
          <w:lang w:val="en-US"/>
        </w:rPr>
        <w:t xml:space="preserve"> = Y </w:t>
      </w:r>
      <w:proofErr w:type="spellStart"/>
      <w:r w:rsidRPr="006D7652">
        <w:rPr>
          <w:szCs w:val="24"/>
          <w:lang w:val="en-US"/>
        </w:rPr>
        <w:t>mol</w:t>
      </w:r>
      <w:proofErr w:type="spellEnd"/>
      <w:r w:rsidRPr="006D765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(for</w:t>
      </w:r>
      <w:r w:rsidRPr="006D7652">
        <w:rPr>
          <w:szCs w:val="24"/>
          <w:lang w:val="en-US"/>
        </w:rPr>
        <w:t xml:space="preserve"> 1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 xml:space="preserve">L of </w:t>
      </w:r>
      <w:r>
        <w:rPr>
          <w:szCs w:val="24"/>
          <w:lang w:val="en-US"/>
        </w:rPr>
        <w:t xml:space="preserve">the </w:t>
      </w:r>
      <w:r w:rsidRPr="006D7652">
        <w:rPr>
          <w:szCs w:val="24"/>
          <w:lang w:val="en-US"/>
        </w:rPr>
        <w:t xml:space="preserve">commercial </w:t>
      </w:r>
      <w:r>
        <w:rPr>
          <w:szCs w:val="24"/>
          <w:lang w:val="en-US"/>
        </w:rPr>
        <w:t xml:space="preserve">bleach </w:t>
      </w:r>
      <w:r w:rsidRPr="006D7652">
        <w:rPr>
          <w:szCs w:val="24"/>
          <w:lang w:val="en-US"/>
        </w:rPr>
        <w:t>solution</w:t>
      </w:r>
      <w:r>
        <w:rPr>
          <w:szCs w:val="24"/>
          <w:lang w:val="en-US"/>
        </w:rPr>
        <w:t xml:space="preserve"> used in the gel formula), then m(Cl</w:t>
      </w:r>
      <w:r w:rsidRPr="00F84340"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) = M</w:t>
      </w:r>
      <w:r>
        <w:rPr>
          <w:szCs w:val="24"/>
          <w:vertAlign w:val="subscript"/>
          <w:lang w:val="en-US"/>
        </w:rPr>
        <w:t>Cl2</w:t>
      </w:r>
      <w:r>
        <w:rPr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×</w:t>
      </w:r>
      <w:r>
        <w:rPr>
          <w:szCs w:val="24"/>
          <w:lang w:val="en-US"/>
        </w:rPr>
        <w:t xml:space="preserve"> Y = 71 </w:t>
      </w:r>
      <w:r>
        <w:rPr>
          <w:rFonts w:cs="Times New Roman"/>
          <w:szCs w:val="24"/>
          <w:lang w:val="en-US"/>
        </w:rPr>
        <w:t>×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 xml:space="preserve">Y </w:t>
      </w:r>
      <w:r>
        <w:rPr>
          <w:szCs w:val="24"/>
          <w:lang w:val="en-US"/>
        </w:rPr>
        <w:t>g</w:t>
      </w:r>
      <w:r w:rsidRPr="006D7652">
        <w:rPr>
          <w:szCs w:val="24"/>
          <w:lang w:val="en-US"/>
        </w:rPr>
        <w:t xml:space="preserve"> in 1</w:t>
      </w:r>
      <w:r>
        <w:rPr>
          <w:szCs w:val="24"/>
          <w:lang w:val="en-US"/>
        </w:rPr>
        <w:t xml:space="preserve"> </w:t>
      </w:r>
      <w:r w:rsidRPr="006D7652">
        <w:rPr>
          <w:szCs w:val="24"/>
          <w:lang w:val="en-US"/>
        </w:rPr>
        <w:t xml:space="preserve">L of commercial </w:t>
      </w:r>
      <w:r>
        <w:rPr>
          <w:szCs w:val="24"/>
          <w:lang w:val="en-US"/>
        </w:rPr>
        <w:t>bleach, with a</w:t>
      </w:r>
      <w:r>
        <w:rPr>
          <w:szCs w:val="24"/>
        </w:rPr>
        <w:t xml:space="preserve"> density </w:t>
      </w:r>
      <w:proofErr w:type="spellStart"/>
      <w:r w:rsidRPr="00A60552">
        <w:rPr>
          <w:szCs w:val="24"/>
        </w:rPr>
        <w:t>d</w:t>
      </w:r>
      <w:r w:rsidRPr="00A60552">
        <w:rPr>
          <w:szCs w:val="24"/>
          <w:vertAlign w:val="subscript"/>
        </w:rPr>
        <w:t>bleach</w:t>
      </w:r>
      <w:proofErr w:type="spellEnd"/>
      <w:r w:rsidRPr="00A60552">
        <w:rPr>
          <w:szCs w:val="24"/>
        </w:rPr>
        <w:t xml:space="preserve"> = 1206 g</w:t>
      </w:r>
      <w:r>
        <w:rPr>
          <w:szCs w:val="24"/>
        </w:rPr>
        <w:t>.</w:t>
      </w:r>
      <w:r w:rsidRPr="00A60552">
        <w:rPr>
          <w:szCs w:val="24"/>
        </w:rPr>
        <w:t>L</w:t>
      </w:r>
      <w:r>
        <w:rPr>
          <w:szCs w:val="24"/>
          <w:vertAlign w:val="superscript"/>
        </w:rPr>
        <w:t>−1</w:t>
      </w:r>
      <w:r>
        <w:rPr>
          <w:szCs w:val="24"/>
        </w:rPr>
        <w:t xml:space="preserve">. The mass percentage of active chlorine in the RBC-Gel </w:t>
      </w:r>
      <w:proofErr w:type="gramStart"/>
      <w:r>
        <w:rPr>
          <w:szCs w:val="24"/>
        </w:rPr>
        <w:t>was then calculated</w:t>
      </w:r>
      <w:proofErr w:type="gramEnd"/>
      <w:r>
        <w:rPr>
          <w:szCs w:val="24"/>
        </w:rPr>
        <w:t xml:space="preserve"> using: </w:t>
      </w:r>
    </w:p>
    <w:p w14:paraId="4D99B420" w14:textId="77777777" w:rsidR="00524F1A" w:rsidRDefault="00524F1A" w:rsidP="00524F1A">
      <w:pPr>
        <w:rPr>
          <w:szCs w:val="24"/>
        </w:rPr>
      </w:pPr>
    </w:p>
    <w:p w14:paraId="1CA005CC" w14:textId="77777777" w:rsidR="00524F1A" w:rsidRDefault="00524F1A" w:rsidP="00524F1A">
      <w:pPr>
        <w:jc w:val="center"/>
        <w:rPr>
          <w:szCs w:val="24"/>
        </w:rPr>
      </w:pPr>
      <w:r>
        <w:rPr>
          <w:szCs w:val="24"/>
        </w:rPr>
        <w:t>ACP (wt</w:t>
      </w:r>
      <w:proofErr w:type="gramStart"/>
      <w:r>
        <w:rPr>
          <w:szCs w:val="24"/>
        </w:rPr>
        <w:t>.%</w:t>
      </w:r>
      <w:proofErr w:type="gramEnd"/>
      <w:r>
        <w:rPr>
          <w:szCs w:val="24"/>
        </w:rPr>
        <w:t>)</w:t>
      </w:r>
      <w:r w:rsidRPr="00A60552">
        <w:rPr>
          <w:szCs w:val="24"/>
        </w:rPr>
        <w:t xml:space="preserve"> </w:t>
      </w:r>
      <w:r>
        <w:rPr>
          <w:szCs w:val="24"/>
        </w:rPr>
        <w:t xml:space="preserve">= (71 </w:t>
      </w:r>
      <w:r>
        <w:rPr>
          <w:rFonts w:cs="Times New Roman"/>
          <w:szCs w:val="24"/>
        </w:rPr>
        <w:t>×</w:t>
      </w:r>
      <w:r>
        <w:rPr>
          <w:szCs w:val="24"/>
        </w:rPr>
        <w:t xml:space="preserve"> </w:t>
      </w:r>
      <w:r w:rsidRPr="00A60552">
        <w:rPr>
          <w:szCs w:val="24"/>
        </w:rPr>
        <w:t>Y</w:t>
      </w:r>
      <w:r>
        <w:rPr>
          <w:szCs w:val="24"/>
        </w:rPr>
        <w:t xml:space="preserve"> </w:t>
      </w:r>
      <w:r w:rsidRPr="00A60552">
        <w:rPr>
          <w:szCs w:val="24"/>
        </w:rPr>
        <w:t>/</w:t>
      </w:r>
      <w:r>
        <w:rPr>
          <w:szCs w:val="24"/>
        </w:rPr>
        <w:t xml:space="preserve"> </w:t>
      </w:r>
      <w:r w:rsidRPr="00A60552">
        <w:rPr>
          <w:szCs w:val="24"/>
        </w:rPr>
        <w:t xml:space="preserve">1206) </w:t>
      </w:r>
      <w:r>
        <w:rPr>
          <w:rFonts w:cs="Times New Roman"/>
          <w:szCs w:val="24"/>
        </w:rPr>
        <w:t>×</w:t>
      </w:r>
      <w:r w:rsidRPr="00A60552">
        <w:rPr>
          <w:szCs w:val="24"/>
        </w:rPr>
        <w:t xml:space="preserve"> 100</w:t>
      </w:r>
    </w:p>
    <w:p w14:paraId="420B123D" w14:textId="77777777" w:rsidR="00524F1A" w:rsidRPr="0041327B" w:rsidRDefault="00524F1A" w:rsidP="00524F1A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5CB96167" w14:textId="77777777" w:rsidR="00794F78" w:rsidRPr="0041327B" w:rsidRDefault="00794F78" w:rsidP="00794F78">
      <w:pPr>
        <w:pStyle w:val="Titre5"/>
      </w:pPr>
      <w:r>
        <w:lastRenderedPageBreak/>
        <w:t>Chemical structures of the three chemical warfare agents investigated in this study</w:t>
      </w:r>
    </w:p>
    <w:p w14:paraId="4EDA81FC" w14:textId="77777777" w:rsidR="00794F78" w:rsidRDefault="00794F78" w:rsidP="00794F78">
      <w:pPr>
        <w:keepNext/>
        <w:jc w:val="center"/>
      </w:pPr>
      <w:r>
        <w:rPr>
          <w:noProof/>
          <w:lang w:val="fr-FR" w:eastAsia="fr-FR"/>
        </w:rPr>
        <w:drawing>
          <wp:inline distT="0" distB="0" distL="0" distR="0" wp14:anchorId="7C171CEC" wp14:editId="1DBD8F55">
            <wp:extent cx="2096299" cy="2948025"/>
            <wp:effectExtent l="0" t="0" r="0" b="5080"/>
            <wp:docPr id="1574139834" name="Image 2" descr="C:\Users\AG230142\Desktop\NRBC\Publi\Papier1_Efficacité et vieillissement\Structure chimique des contamin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299" cy="29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6936" w14:textId="08FD48FA" w:rsidR="00794F78" w:rsidRDefault="00794F78" w:rsidP="00794F78">
      <w:pPr>
        <w:pStyle w:val="Lgende"/>
      </w:pPr>
      <w:bookmarkStart w:id="1" w:name="_Ref35605520"/>
      <w:r w:rsidRPr="005609DC">
        <w:rPr>
          <w:b/>
          <w:bCs/>
        </w:rPr>
        <w:t>Fi</w:t>
      </w:r>
      <w:bookmarkEnd w:id="1"/>
      <w:r>
        <w:rPr>
          <w:b/>
          <w:bCs/>
        </w:rPr>
        <w:t xml:space="preserve">g. SI 1. </w:t>
      </w:r>
      <w:r w:rsidRPr="005C25F1">
        <w:t xml:space="preserve">Chemical structure of (a) </w:t>
      </w:r>
      <w:r>
        <w:t>sulfur mustard</w:t>
      </w:r>
      <w:r w:rsidRPr="005C25F1">
        <w:t xml:space="preserve"> (HD), (b) VX and (c) </w:t>
      </w:r>
      <w:proofErr w:type="spellStart"/>
      <w:r>
        <w:t>s</w:t>
      </w:r>
      <w:r w:rsidRPr="005C25F1">
        <w:t>oman</w:t>
      </w:r>
      <w:proofErr w:type="spellEnd"/>
      <w:r w:rsidRPr="005C25F1">
        <w:t xml:space="preserve"> (GD)</w:t>
      </w:r>
      <w:r>
        <w:t>.</w:t>
      </w:r>
      <w:r>
        <w:fldChar w:fldCharType="begin"/>
      </w:r>
      <w:r>
        <w:instrText xml:space="preserve"> ADDIN </w:instrText>
      </w:r>
      <w:r>
        <w:fldChar w:fldCharType="end"/>
      </w:r>
    </w:p>
    <w:p w14:paraId="6BD29725" w14:textId="061FD354" w:rsidR="00794F78" w:rsidRPr="00794F78" w:rsidRDefault="00794F78" w:rsidP="00794F78">
      <w:pPr>
        <w:spacing w:after="160" w:line="259" w:lineRule="auto"/>
        <w:jc w:val="left"/>
        <w:rPr>
          <w:iCs/>
          <w:sz w:val="20"/>
          <w:szCs w:val="18"/>
          <w:lang w:val="en-US"/>
        </w:rPr>
      </w:pPr>
      <w:r>
        <w:br w:type="page"/>
      </w:r>
    </w:p>
    <w:p w14:paraId="3DC791AA" w14:textId="2A1DECEF" w:rsidR="00905109" w:rsidRDefault="00524F1A" w:rsidP="00905109">
      <w:pPr>
        <w:pStyle w:val="Titre5"/>
      </w:pPr>
      <w:r>
        <w:lastRenderedPageBreak/>
        <w:t xml:space="preserve"> </w:t>
      </w:r>
      <w:r w:rsidR="00905109">
        <w:t>Estimation of the CBR gel density</w:t>
      </w:r>
    </w:p>
    <w:p w14:paraId="2C2C08FE" w14:textId="77777777" w:rsidR="00905109" w:rsidRDefault="00905109" w:rsidP="007F7FD4">
      <w:r>
        <w:rPr>
          <w:lang w:val="en-US"/>
        </w:rPr>
        <w:t xml:space="preserve">To determine the approximate CBR gel density, we consider a colloidal suspension of </w:t>
      </w:r>
      <w:proofErr w:type="spellStart"/>
      <w:r w:rsidRPr="00905109">
        <w:rPr>
          <w:lang w:val="en-US"/>
        </w:rPr>
        <w:t>Aeroxide</w:t>
      </w:r>
      <w:proofErr w:type="spellEnd"/>
      <w:r w:rsidRPr="00905109">
        <w:rPr>
          <w:lang w:val="en-US"/>
        </w:rPr>
        <w:t xml:space="preserve"> </w:t>
      </w:r>
      <w:proofErr w:type="spellStart"/>
      <w:r w:rsidRPr="00905109">
        <w:rPr>
          <w:lang w:val="en-US"/>
        </w:rPr>
        <w:t>Alu</w:t>
      </w:r>
      <w:proofErr w:type="spellEnd"/>
      <w:r w:rsidRPr="00905109">
        <w:rPr>
          <w:lang w:val="en-US"/>
        </w:rPr>
        <w:t xml:space="preserve"> C </w:t>
      </w:r>
      <w:r>
        <w:rPr>
          <w:lang w:val="en-US"/>
        </w:rPr>
        <w:t xml:space="preserve">alumina in pure water and disregard the presence of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Pluronic</w:t>
      </w:r>
      <w:proofErr w:type="spellEnd"/>
      <w:r>
        <w:rPr>
          <w:lang w:val="en-US"/>
        </w:rPr>
        <w:t xml:space="preserve"> PE 6200, iron oxide and hypochlorite ions.</w:t>
      </w:r>
    </w:p>
    <w:p w14:paraId="3061B0C5" w14:textId="77777777" w:rsidR="00905109" w:rsidRDefault="00905109" w:rsidP="007F7FD4">
      <w:r>
        <w:rPr>
          <w:lang w:val="en-US"/>
        </w:rPr>
        <w:t xml:space="preserve">The </w:t>
      </w:r>
      <w:proofErr w:type="gramStart"/>
      <w:r>
        <w:rPr>
          <w:lang w:val="en-US"/>
        </w:rPr>
        <w:t>density of the</w:t>
      </w:r>
      <w:r w:rsidRPr="00905109">
        <w:t xml:space="preserve"> </w:t>
      </w:r>
      <w:proofErr w:type="spellStart"/>
      <w:r w:rsidRPr="00905109">
        <w:rPr>
          <w:lang w:val="en-US"/>
        </w:rPr>
        <w:t>Aeroxide</w:t>
      </w:r>
      <w:proofErr w:type="spellEnd"/>
      <w:r w:rsidRPr="00905109">
        <w:rPr>
          <w:lang w:val="en-US"/>
        </w:rPr>
        <w:t xml:space="preserve"> </w:t>
      </w:r>
      <w:proofErr w:type="spellStart"/>
      <w:r w:rsidRPr="00905109">
        <w:rPr>
          <w:lang w:val="en-US"/>
        </w:rPr>
        <w:t>Alu</w:t>
      </w:r>
      <w:proofErr w:type="spellEnd"/>
      <w:r w:rsidRPr="00905109">
        <w:rPr>
          <w:lang w:val="en-US"/>
        </w:rPr>
        <w:t xml:space="preserve"> C</w:t>
      </w:r>
      <w:r>
        <w:rPr>
          <w:lang w:val="en-US"/>
        </w:rPr>
        <w:t xml:space="preserve"> alumina (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Alumina</w:t>
      </w:r>
      <w:proofErr w:type="spellEnd"/>
      <w:r>
        <w:rPr>
          <w:lang w:val="en-US"/>
        </w:rPr>
        <w:t>) is given by the Safety Data Sheet of the product at 3.27 g.cm</w:t>
      </w:r>
      <w:r>
        <w:rPr>
          <w:vertAlign w:val="superscript"/>
          <w:lang w:val="en-US"/>
        </w:rPr>
        <w:t>-3</w:t>
      </w:r>
      <w:proofErr w:type="gramEnd"/>
      <w:r>
        <w:rPr>
          <w:lang w:val="en-US"/>
        </w:rPr>
        <w:t>.</w:t>
      </w:r>
    </w:p>
    <w:p w14:paraId="2EC74DC2" w14:textId="77777777" w:rsidR="00905109" w:rsidRDefault="00905109" w:rsidP="007F7FD4">
      <w:r>
        <w:rPr>
          <w:lang w:val="en-US"/>
        </w:rPr>
        <w:t xml:space="preserve">The density of the gel is calculated as </w:t>
      </w:r>
      <w:proofErr w:type="gramStart"/>
      <w:r>
        <w:rPr>
          <w:lang w:val="en-US"/>
        </w:rPr>
        <w:t>followed :</w:t>
      </w:r>
      <w:proofErr w:type="gramEnd"/>
    </w:p>
    <w:p w14:paraId="2EFEDD4D" w14:textId="77777777" w:rsidR="00905109" w:rsidRPr="00EE4255" w:rsidRDefault="002B6F48" w:rsidP="007F7FD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lang w:val="en-US"/>
                </w:rPr>
                <m:t>gel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Alumina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Alumina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Alumina</m:t>
                      </m:r>
                    </m:sub>
                  </m:sSub>
                </m:den>
              </m:f>
            </m:den>
          </m:f>
        </m:oMath>
      </m:oMathPara>
    </w:p>
    <w:p w14:paraId="027C93F1" w14:textId="77777777" w:rsidR="00905109" w:rsidRPr="00905109" w:rsidRDefault="00905109" w:rsidP="007F7FD4">
      <w:r>
        <w:t>Using this equation, the approximate density of the CBR gel is determined at 1.11 g.cm</w:t>
      </w:r>
      <w:r>
        <w:rPr>
          <w:vertAlign w:val="superscript"/>
        </w:rPr>
        <w:t>-3</w:t>
      </w:r>
      <w:r>
        <w:br w:type="page"/>
      </w:r>
    </w:p>
    <w:p w14:paraId="0044242D" w14:textId="77777777" w:rsidR="00524F1A" w:rsidRPr="0041327B" w:rsidRDefault="00524F1A" w:rsidP="00524F1A">
      <w:pPr>
        <w:pStyle w:val="Titre5"/>
      </w:pPr>
      <w:r w:rsidRPr="0041327B">
        <w:lastRenderedPageBreak/>
        <w:t>Description of the Hershel-</w:t>
      </w:r>
      <w:proofErr w:type="spellStart"/>
      <w:r w:rsidRPr="0041327B">
        <w:t>Bulkley</w:t>
      </w:r>
      <w:proofErr w:type="spellEnd"/>
      <w:r w:rsidRPr="0041327B">
        <w:t xml:space="preserve"> model</w:t>
      </w:r>
    </w:p>
    <w:p w14:paraId="512C787D" w14:textId="77777777" w:rsidR="00524F1A" w:rsidRPr="0041327B" w:rsidRDefault="00524F1A" w:rsidP="00524F1A">
      <w:pPr>
        <w:spacing w:afterLines="200" w:after="480"/>
        <w:ind w:firstLine="708"/>
        <w:rPr>
          <w:lang w:val="en-US"/>
        </w:rPr>
      </w:pPr>
      <w:r w:rsidRPr="0041327B">
        <w:rPr>
          <w:lang w:val="en-US"/>
        </w:rPr>
        <w:t>The Hershel-</w:t>
      </w:r>
      <w:proofErr w:type="spellStart"/>
      <w:r w:rsidRPr="0041327B">
        <w:rPr>
          <w:lang w:val="en-US"/>
        </w:rPr>
        <w:t>Bulkley</w:t>
      </w:r>
      <w:proofErr w:type="spellEnd"/>
      <w:r w:rsidRPr="0041327B">
        <w:rPr>
          <w:lang w:val="en-US"/>
        </w:rPr>
        <w:t xml:space="preserve"> model describes the behavior of non-Newtonian yield stress fluids. This model </w:t>
      </w:r>
      <w:r>
        <w:rPr>
          <w:lang w:val="en-US"/>
        </w:rPr>
        <w:t xml:space="preserve">accurately describes </w:t>
      </w:r>
      <w:r w:rsidRPr="0041327B">
        <w:rPr>
          <w:lang w:val="en-US"/>
        </w:rPr>
        <w:t>the rheological behavior of large range of colloidal gels. The Hershel-</w:t>
      </w:r>
      <w:proofErr w:type="spellStart"/>
      <w:r w:rsidRPr="0041327B">
        <w:rPr>
          <w:lang w:val="en-US"/>
        </w:rPr>
        <w:t>Bulkley</w:t>
      </w:r>
      <w:proofErr w:type="spellEnd"/>
      <w:r w:rsidRPr="0041327B">
        <w:rPr>
          <w:lang w:val="en-US"/>
        </w:rPr>
        <w:t xml:space="preserve"> model </w:t>
      </w:r>
      <w:proofErr w:type="gramStart"/>
      <w:r w:rsidRPr="0041327B">
        <w:rPr>
          <w:lang w:val="en-US"/>
        </w:rPr>
        <w:t>is expressed</w:t>
      </w:r>
      <w:proofErr w:type="gramEnd"/>
      <w:r w:rsidRPr="0041327B">
        <w:rPr>
          <w:lang w:val="en-US"/>
        </w:rPr>
        <w:t xml:space="preserve"> as </w:t>
      </w:r>
      <w:r>
        <w:rPr>
          <w:lang w:val="en-US"/>
        </w:rPr>
        <w:t>follows</w:t>
      </w:r>
      <w:r w:rsidRPr="0041327B">
        <w:rPr>
          <w:lang w:val="en-US"/>
        </w:rPr>
        <w:t>:</w:t>
      </w:r>
    </w:p>
    <w:p w14:paraId="32172F58" w14:textId="77777777" w:rsidR="00524F1A" w:rsidRDefault="00524F1A" w:rsidP="00524F1A">
      <w:pPr>
        <w:spacing w:afterLines="200" w:after="48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τ=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+K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14:paraId="3E8007AE" w14:textId="77777777" w:rsidR="00524F1A" w:rsidRDefault="00524F1A" w:rsidP="00524F1A">
      <w:pPr>
        <w:rPr>
          <w:rFonts w:cs="Times New Roman"/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</w:t>
      </w:r>
      <w:r>
        <w:rPr>
          <w:rFonts w:ascii="Calibri" w:hAnsi="Calibri"/>
        </w:rPr>
        <w:t>τ,</w:t>
      </w:r>
      <w:r>
        <w:rPr>
          <w:lang w:val="en-US"/>
        </w:rPr>
        <w:t xml:space="preserve"> the shear stress applied to the gel, </w:t>
      </w:r>
      <w:proofErr w:type="spellStart"/>
      <w:r>
        <w:rPr>
          <w:rFonts w:ascii="Calibri" w:hAnsi="Calibri"/>
          <w:lang w:val="en-US"/>
        </w:rPr>
        <w:t>τ</w:t>
      </w:r>
      <w:r>
        <w:rPr>
          <w:vertAlign w:val="subscript"/>
          <w:lang w:val="en-US"/>
        </w:rPr>
        <w:t>y</w:t>
      </w:r>
      <w:proofErr w:type="spellEnd"/>
      <w:r>
        <w:rPr>
          <w:lang w:val="en-US"/>
        </w:rPr>
        <w:t>, the yield stress of the gel, K, the consistency, a proportionality constant that depends on the structure of the gel, and n, the flow index which reflects the degree of deviation from Newtonian behavior. T</w:t>
      </w:r>
      <w:r>
        <w:rPr>
          <w:rFonts w:cs="Times New Roman"/>
          <w:lang w:val="en-US"/>
        </w:rPr>
        <w:t>he fluid behaves as a solid for τ</w:t>
      </w:r>
      <w:r>
        <w:rPr>
          <w:lang w:val="en-US"/>
        </w:rPr>
        <w:t xml:space="preserve"> &lt; </w:t>
      </w:r>
      <w:proofErr w:type="spellStart"/>
      <w:r>
        <w:rPr>
          <w:rFonts w:cs="Times New Roman"/>
          <w:lang w:val="en-US"/>
        </w:rPr>
        <w:t>τ</w:t>
      </w:r>
      <w:r>
        <w:rPr>
          <w:rFonts w:cs="Times New Roman"/>
          <w:vertAlign w:val="subscript"/>
          <w:lang w:val="en-US"/>
        </w:rPr>
        <w:t>y</w:t>
      </w:r>
      <w:proofErr w:type="spellEnd"/>
      <w:r>
        <w:rPr>
          <w:rFonts w:cs="Times New Roman"/>
          <w:lang w:val="en-US"/>
        </w:rPr>
        <w:t xml:space="preserve"> and as a liquid for τ</w:t>
      </w:r>
      <w:r>
        <w:rPr>
          <w:lang w:val="en-US"/>
        </w:rPr>
        <w:t xml:space="preserve"> &gt; </w:t>
      </w:r>
      <w:proofErr w:type="spellStart"/>
      <w:r>
        <w:rPr>
          <w:rFonts w:cs="Times New Roman"/>
          <w:lang w:val="en-US"/>
        </w:rPr>
        <w:t>τ</w:t>
      </w:r>
      <w:r>
        <w:rPr>
          <w:rFonts w:cs="Times New Roman"/>
          <w:vertAlign w:val="subscript"/>
          <w:lang w:val="en-US"/>
        </w:rPr>
        <w:t>y</w:t>
      </w:r>
      <w:proofErr w:type="spellEnd"/>
      <w:r>
        <w:rPr>
          <w:rFonts w:cs="Times New Roman"/>
          <w:lang w:val="en-US"/>
        </w:rPr>
        <w:t xml:space="preserve">. If </w:t>
      </w:r>
      <w:r w:rsidRPr="004E2018">
        <w:rPr>
          <w:rFonts w:cs="Times New Roman"/>
          <w:i/>
          <w:iCs/>
          <w:lang w:val="en-US"/>
        </w:rPr>
        <w:t>n</w:t>
      </w:r>
      <w:r>
        <w:rPr>
          <w:rFonts w:cs="Times New Roman"/>
          <w:lang w:val="en-US"/>
        </w:rPr>
        <w:t xml:space="preserve"> &lt; 1, the fluid is shear thinning and if n &gt; 1, the fluid is shear thickening.</w:t>
      </w:r>
    </w:p>
    <w:p w14:paraId="322AF11A" w14:textId="3724B809" w:rsidR="00524F1A" w:rsidRPr="00794F78" w:rsidRDefault="00524F1A" w:rsidP="00794F78">
      <w:pPr>
        <w:spacing w:after="160" w:line="259" w:lineRule="auto"/>
        <w:jc w:val="left"/>
        <w:rPr>
          <w:rFonts w:cs="Times New Roman"/>
          <w:lang w:val="en-US"/>
        </w:rPr>
      </w:pPr>
    </w:p>
    <w:sectPr w:rsidR="00524F1A" w:rsidRPr="00794F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E279" w14:textId="77777777" w:rsidR="002B6F48" w:rsidRDefault="002B6F48" w:rsidP="00C43568">
      <w:pPr>
        <w:spacing w:line="240" w:lineRule="auto"/>
      </w:pPr>
      <w:r>
        <w:separator/>
      </w:r>
    </w:p>
  </w:endnote>
  <w:endnote w:type="continuationSeparator" w:id="0">
    <w:p w14:paraId="76663278" w14:textId="77777777" w:rsidR="002B6F48" w:rsidRDefault="002B6F48" w:rsidP="00C43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B491" w14:textId="732DE258" w:rsidR="00C43568" w:rsidRDefault="00C43568">
    <w:pPr>
      <w:pStyle w:val="Pieddepage"/>
      <w:jc w:val="right"/>
    </w:pPr>
    <w:r>
      <w:t>S</w:t>
    </w:r>
    <w:sdt>
      <w:sdtPr>
        <w:id w:val="-20214541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7FD4" w:rsidRPr="007F7FD4">
          <w:rPr>
            <w:noProof/>
            <w:lang w:val="fr-FR"/>
          </w:rPr>
          <w:t>6</w:t>
        </w:r>
        <w:r>
          <w:fldChar w:fldCharType="end"/>
        </w:r>
      </w:sdtContent>
    </w:sdt>
  </w:p>
  <w:p w14:paraId="4E4EE3C2" w14:textId="77777777" w:rsidR="00C43568" w:rsidRDefault="00C43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B5FC" w14:textId="77777777" w:rsidR="002B6F48" w:rsidRDefault="002B6F48" w:rsidP="00C43568">
      <w:pPr>
        <w:spacing w:line="240" w:lineRule="auto"/>
      </w:pPr>
      <w:r>
        <w:separator/>
      </w:r>
    </w:p>
  </w:footnote>
  <w:footnote w:type="continuationSeparator" w:id="0">
    <w:p w14:paraId="24621C92" w14:textId="77777777" w:rsidR="002B6F48" w:rsidRDefault="002B6F48" w:rsidP="00C435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DA6"/>
    <w:multiLevelType w:val="hybridMultilevel"/>
    <w:tmpl w:val="9CCE3C64"/>
    <w:lvl w:ilvl="0" w:tplc="74869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8E3"/>
    <w:multiLevelType w:val="hybridMultilevel"/>
    <w:tmpl w:val="3CBE9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5B0B"/>
    <w:multiLevelType w:val="hybridMultilevel"/>
    <w:tmpl w:val="300A4FF8"/>
    <w:lvl w:ilvl="0" w:tplc="2EB2F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12C"/>
    <w:multiLevelType w:val="multilevel"/>
    <w:tmpl w:val="63285572"/>
    <w:lvl w:ilvl="0">
      <w:start w:val="1"/>
      <w:numFmt w:val="upperRoman"/>
      <w:pStyle w:val="Titre5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B0058A"/>
    <w:multiLevelType w:val="hybridMultilevel"/>
    <w:tmpl w:val="2C60ABB2"/>
    <w:lvl w:ilvl="0" w:tplc="6E6CA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2805"/>
    <w:multiLevelType w:val="hybridMultilevel"/>
    <w:tmpl w:val="8078DC3E"/>
    <w:lvl w:ilvl="0" w:tplc="FCE6A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D"/>
    <w:rsid w:val="001D0CE2"/>
    <w:rsid w:val="002B6F48"/>
    <w:rsid w:val="003B39F9"/>
    <w:rsid w:val="00524F1A"/>
    <w:rsid w:val="005B4051"/>
    <w:rsid w:val="00677E4E"/>
    <w:rsid w:val="00704BD1"/>
    <w:rsid w:val="00794F78"/>
    <w:rsid w:val="007B5AEC"/>
    <w:rsid w:val="007F7FD4"/>
    <w:rsid w:val="00905109"/>
    <w:rsid w:val="00C43568"/>
    <w:rsid w:val="00CC766D"/>
    <w:rsid w:val="00DD66EA"/>
    <w:rsid w:val="00E215EA"/>
    <w:rsid w:val="00EE4255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4540"/>
  <w15:chartTrackingRefBased/>
  <w15:docId w15:val="{819A7576-DAB3-4457-A9A5-CF81F0C5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1A"/>
    <w:pPr>
      <w:spacing w:after="0" w:line="480" w:lineRule="auto"/>
      <w:jc w:val="both"/>
    </w:pPr>
    <w:rPr>
      <w:rFonts w:ascii="Times New Roman" w:hAnsi="Times New Roman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4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524F1A"/>
    <w:pPr>
      <w:keepNext w:val="0"/>
      <w:keepLines w:val="0"/>
      <w:numPr>
        <w:numId w:val="1"/>
      </w:numPr>
      <w:spacing w:before="240" w:after="240"/>
      <w:outlineLvl w:val="4"/>
    </w:pPr>
    <w:rPr>
      <w:rFonts w:ascii="Times New Roman" w:eastAsiaTheme="minorHAnsi" w:hAnsi="Times New Roman" w:cstheme="minorBidi"/>
      <w:b/>
      <w:i w:val="0"/>
      <w:color w:val="auto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24F1A"/>
    <w:rPr>
      <w:rFonts w:ascii="Times New Roman" w:hAnsi="Times New Roman"/>
      <w:b/>
      <w:iCs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524F1A"/>
    <w:rPr>
      <w:iCs/>
      <w:sz w:val="20"/>
      <w:szCs w:val="18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24F1A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435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568"/>
    <w:rPr>
      <w:rFonts w:ascii="Times New Roman" w:hAnsi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35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568"/>
    <w:rPr>
      <w:rFonts w:ascii="Times New Roman" w:hAnsi="Times New Roman"/>
      <w:lang w:val="en-GB"/>
    </w:rPr>
  </w:style>
  <w:style w:type="paragraph" w:styleId="Paragraphedeliste">
    <w:name w:val="List Paragraph"/>
    <w:basedOn w:val="Normal"/>
    <w:uiPriority w:val="34"/>
    <w:qFormat/>
    <w:rsid w:val="00C435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510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215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5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5EA"/>
    <w:rPr>
      <w:rFonts w:ascii="Times New Roman" w:hAnsi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5EA"/>
    <w:rPr>
      <w:rFonts w:ascii="Times New Roman" w:hAnsi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5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5E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elia.lepeytre@cea.f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èce jointe de notice" ma:contentTypeID="0x010100D14D93242A0E4F2C80D6AFEF30EB1A1500BE69CDFA5C58F143BB1EBC1C45F0BEC9" ma:contentTypeVersion="6" ma:contentTypeDescription="Pièce jointe d'une notice" ma:contentTypeScope="" ma:versionID="d3fc93224c715e4e24f8863e695a08a5">
  <xsd:schema xmlns:xsd="http://www.w3.org/2001/XMLSchema" xmlns:xs="http://www.w3.org/2001/XMLSchema" xmlns:p="http://schemas.microsoft.com/office/2006/metadata/properties" xmlns:ns2="973304b3-49da-4ec9-a2e5-447ae1692b7f" xmlns:ns3="53b49842-386e-469d-987c-aff09ea91675" targetNamespace="http://schemas.microsoft.com/office/2006/metadata/properties" ma:root="true" ma:fieldsID="cbbe53e564739b9339f204c373001d56" ns2:_="" ns3:_="">
    <xsd:import namespace="973304b3-49da-4ec9-a2e5-447ae1692b7f"/>
    <xsd:import namespace="53b49842-386e-469d-987c-aff09ea91675"/>
    <xsd:element name="properties">
      <xsd:complexType>
        <xsd:sequence>
          <xsd:element name="documentManagement">
            <xsd:complexType>
              <xsd:all>
                <xsd:element ref="ns2:map_field_global_docType" minOccurs="0"/>
                <xsd:element ref="ns2:map_field_global_docDiffHAL" minOccurs="0"/>
                <xsd:element ref="ns3:map_field_global_emailAv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04b3-49da-4ec9-a2e5-447ae1692b7f" elementFormDefault="qualified">
    <xsd:import namespace="http://schemas.microsoft.com/office/2006/documentManagement/types"/>
    <xsd:import namespace="http://schemas.microsoft.com/office/infopath/2007/PartnerControls"/>
    <xsd:element name="map_field_global_docType" ma:index="8" nillable="true" ma:displayName="Type de pièce jointe" ma:internalName="map_field_global_docType">
      <xsd:simpleType>
        <xsd:restriction base="dms:Choice">
          <xsd:enumeration value="préprint"/>
          <xsd:enumeration value="postprint auteur / manuscrit auteur accepté"/>
          <xsd:enumeration value="version éditeur"/>
          <xsd:enumeration value="accord éditeur"/>
          <xsd:enumeration value="avis"/>
        </xsd:restriction>
      </xsd:simpleType>
    </xsd:element>
    <xsd:element name="map_field_global_docDiffHAL" ma:index="9" nillable="true" ma:displayName="Texte intégral diffusable sur HAL" ma:internalName="map_field_global_docDiffH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9842-386e-469d-987c-aff09ea91675" elementFormDefault="qualified">
    <xsd:import namespace="http://schemas.microsoft.com/office/2006/documentManagement/types"/>
    <xsd:import namespace="http://schemas.microsoft.com/office/infopath/2007/PartnerControls"/>
    <xsd:element name="map_field_global_emailAvis" ma:index="10" nillable="true" ma:displayName="Adresse Email de l'avis" ma:internalName="map_field_global_emailAvi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_field_global_docType xmlns="973304b3-49da-4ec9-a2e5-447ae1692b7f">Aucun</map_field_global_docType>
    <map_field_global_emailAvis xmlns="53b49842-386e-469d-987c-aff09ea91675" xsi:nil="true"/>
    <map_field_global_docDiffHAL xmlns="973304b3-49da-4ec9-a2e5-447ae1692b7f" xsi:nil="true"/>
  </documentManagement>
</p:properties>
</file>

<file path=customXml/itemProps1.xml><?xml version="1.0" encoding="utf-8"?>
<ds:datastoreItem xmlns:ds="http://schemas.openxmlformats.org/officeDocument/2006/customXml" ds:itemID="{DD2953DE-43D1-4078-B405-194503C4BAA7}"/>
</file>

<file path=customXml/itemProps2.xml><?xml version="1.0" encoding="utf-8"?>
<ds:datastoreItem xmlns:ds="http://schemas.openxmlformats.org/officeDocument/2006/customXml" ds:itemID="{B4C43748-435D-4806-BE64-DF31F7C110BB}"/>
</file>

<file path=customXml/itemProps3.xml><?xml version="1.0" encoding="utf-8"?>
<ds:datastoreItem xmlns:ds="http://schemas.openxmlformats.org/officeDocument/2006/customXml" ds:itemID="{A52EADCB-7254-4FFC-AEE9-021D00254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GOSSARD Alban</dc:creator>
  <cp:keywords/>
  <dc:description/>
  <cp:lastModifiedBy>LEPEYTRE Celia</cp:lastModifiedBy>
  <cp:revision>9</cp:revision>
  <dcterms:created xsi:type="dcterms:W3CDTF">2020-09-18T10:44:00Z</dcterms:created>
  <dcterms:modified xsi:type="dcterms:W3CDTF">2021-03-03T08:16:00Z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0x010100D14D93242A0E4F2C80D6AFEF30EB1A1500BE69CDFA5C58F143BB1EBC1C45F0BEC9</vt:lpwstr>
  </property>
</Properties>
</file>